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single" w:sz="4" w:space="0" w:color="auto"/>
        </w:tblBorders>
        <w:tblLook w:val="01E0" w:firstRow="1" w:lastRow="1" w:firstColumn="1" w:lastColumn="1" w:noHBand="0" w:noVBand="0"/>
      </w:tblPr>
      <w:tblGrid>
        <w:gridCol w:w="4513"/>
        <w:gridCol w:w="4843"/>
      </w:tblGrid>
      <w:tr w:rsidR="002168A9" w:rsidTr="00EB2B83">
        <w:tc>
          <w:tcPr>
            <w:tcW w:w="4513" w:type="dxa"/>
            <w:tcMar>
              <w:left w:w="0" w:type="dxa"/>
              <w:right w:w="0" w:type="dxa"/>
            </w:tcMar>
          </w:tcPr>
          <w:p w:rsidR="002168A9" w:rsidRDefault="002168A9" w:rsidP="00EB2B83"/>
        </w:tc>
        <w:tc>
          <w:tcPr>
            <w:tcW w:w="0" w:type="auto"/>
            <w:tcMar>
              <w:left w:w="0" w:type="dxa"/>
              <w:bottom w:w="142" w:type="dxa"/>
              <w:right w:w="0" w:type="dxa"/>
            </w:tcMar>
          </w:tcPr>
          <w:p w:rsidR="002168A9" w:rsidRDefault="002168A9" w:rsidP="00EB2B83">
            <w:r>
              <w:rPr>
                <w:noProof/>
                <w:lang w:eastAsia="en-US"/>
              </w:rPr>
              <w:drawing>
                <wp:inline distT="0" distB="0" distL="0" distR="0" wp14:anchorId="5F6B9CED" wp14:editId="3E700C69">
                  <wp:extent cx="1860550" cy="1330325"/>
                  <wp:effectExtent l="0" t="0" r="6350" b="317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30325"/>
                          </a:xfrm>
                          <a:prstGeom prst="rect">
                            <a:avLst/>
                          </a:prstGeom>
                          <a:noFill/>
                          <a:ln>
                            <a:noFill/>
                          </a:ln>
                        </pic:spPr>
                      </pic:pic>
                    </a:graphicData>
                  </a:graphic>
                </wp:inline>
              </w:drawing>
            </w:r>
          </w:p>
        </w:tc>
      </w:tr>
    </w:tbl>
    <w:p w:rsidR="002168A9" w:rsidRDefault="002168A9" w:rsidP="002168A9"/>
    <w:p w:rsidR="002168A9" w:rsidRDefault="002168A9" w:rsidP="002168A9">
      <w:pPr>
        <w:jc w:val="right"/>
      </w:pPr>
      <w:r>
        <w:rPr>
          <w:rFonts w:ascii="Arial Black" w:hAnsi="Arial Black"/>
          <w:sz w:val="15"/>
          <w:szCs w:val="15"/>
          <w:lang w:val="pt-BR"/>
        </w:rPr>
        <w:t xml:space="preserve">INFORMATION NOTICE NO. </w:t>
      </w:r>
      <w:r w:rsidR="003D3234" w:rsidRPr="00F12764">
        <w:rPr>
          <w:rFonts w:ascii="Arial Black" w:hAnsi="Arial Black"/>
          <w:sz w:val="15"/>
          <w:szCs w:val="15"/>
          <w:lang w:val="pt-BR"/>
        </w:rPr>
        <w:t>5</w:t>
      </w:r>
      <w:r>
        <w:rPr>
          <w:rFonts w:ascii="Arial Black" w:hAnsi="Arial Black"/>
          <w:sz w:val="15"/>
          <w:szCs w:val="15"/>
          <w:lang w:val="pt-BR"/>
        </w:rPr>
        <w:t>/2014</w:t>
      </w:r>
    </w:p>
    <w:p w:rsidR="002168A9" w:rsidRDefault="002168A9" w:rsidP="002168A9"/>
    <w:p w:rsidR="002168A9" w:rsidRDefault="002168A9" w:rsidP="002168A9"/>
    <w:p w:rsidR="002168A9" w:rsidRDefault="002168A9" w:rsidP="002168A9"/>
    <w:p w:rsidR="002168A9" w:rsidRPr="00582B32" w:rsidRDefault="002168A9" w:rsidP="002168A9"/>
    <w:p w:rsidR="002168A9" w:rsidRPr="00582B32" w:rsidRDefault="002168A9" w:rsidP="002168A9"/>
    <w:p w:rsidR="002168A9" w:rsidRPr="00582B32" w:rsidRDefault="002168A9" w:rsidP="002168A9"/>
    <w:p w:rsidR="002168A9" w:rsidRPr="00582B32" w:rsidRDefault="002168A9" w:rsidP="002168A9"/>
    <w:p w:rsidR="002168A9" w:rsidRPr="003C18F7" w:rsidRDefault="002168A9" w:rsidP="002168A9">
      <w:pPr>
        <w:rPr>
          <w:b/>
          <w:sz w:val="28"/>
          <w:szCs w:val="28"/>
        </w:rPr>
      </w:pPr>
      <w:r>
        <w:rPr>
          <w:b/>
          <w:sz w:val="28"/>
          <w:szCs w:val="28"/>
        </w:rPr>
        <w:t>Hague</w:t>
      </w:r>
      <w:r w:rsidRPr="003C18F7">
        <w:rPr>
          <w:b/>
          <w:sz w:val="28"/>
          <w:szCs w:val="28"/>
        </w:rPr>
        <w:t xml:space="preserve"> </w:t>
      </w:r>
      <w:r>
        <w:rPr>
          <w:b/>
          <w:sz w:val="28"/>
          <w:szCs w:val="28"/>
        </w:rPr>
        <w:t xml:space="preserve">Agreement </w:t>
      </w:r>
      <w:r w:rsidRPr="003C18F7">
        <w:rPr>
          <w:b/>
          <w:sz w:val="28"/>
          <w:szCs w:val="28"/>
        </w:rPr>
        <w:t xml:space="preserve">Concerning </w:t>
      </w:r>
      <w:r>
        <w:rPr>
          <w:b/>
          <w:sz w:val="28"/>
          <w:szCs w:val="28"/>
        </w:rPr>
        <w:t>t</w:t>
      </w:r>
      <w:r w:rsidRPr="003C18F7">
        <w:rPr>
          <w:b/>
          <w:sz w:val="28"/>
          <w:szCs w:val="28"/>
        </w:rPr>
        <w:t>he International</w:t>
      </w:r>
      <w:r>
        <w:rPr>
          <w:b/>
          <w:sz w:val="28"/>
          <w:szCs w:val="28"/>
        </w:rPr>
        <w:t xml:space="preserve"> </w:t>
      </w:r>
      <w:r w:rsidRPr="003C18F7">
        <w:rPr>
          <w:b/>
          <w:sz w:val="28"/>
          <w:szCs w:val="28"/>
        </w:rPr>
        <w:t xml:space="preserve">Registration </w:t>
      </w:r>
      <w:r>
        <w:rPr>
          <w:b/>
          <w:sz w:val="28"/>
          <w:szCs w:val="28"/>
        </w:rPr>
        <w:t>o</w:t>
      </w:r>
      <w:r w:rsidRPr="003C18F7">
        <w:rPr>
          <w:b/>
          <w:sz w:val="28"/>
          <w:szCs w:val="28"/>
        </w:rPr>
        <w:t xml:space="preserve">f </w:t>
      </w:r>
      <w:r>
        <w:rPr>
          <w:b/>
          <w:sz w:val="28"/>
          <w:szCs w:val="28"/>
        </w:rPr>
        <w:t>Industrial Designs</w:t>
      </w:r>
    </w:p>
    <w:p w:rsidR="002168A9" w:rsidRDefault="002168A9" w:rsidP="002168A9"/>
    <w:p w:rsidR="003D3234" w:rsidRDefault="003D3234" w:rsidP="002168A9"/>
    <w:p w:rsidR="003D3234" w:rsidRPr="00582B32" w:rsidRDefault="003D3234" w:rsidP="002168A9"/>
    <w:p w:rsidR="002168A9" w:rsidRDefault="002168A9" w:rsidP="002168A9">
      <w:pPr>
        <w:rPr>
          <w:b/>
          <w:bCs/>
          <w:sz w:val="23"/>
          <w:szCs w:val="23"/>
        </w:rPr>
      </w:pPr>
      <w:r>
        <w:rPr>
          <w:b/>
          <w:bCs/>
          <w:sz w:val="23"/>
          <w:szCs w:val="23"/>
        </w:rPr>
        <w:t>Amendments to the Common Regulations</w:t>
      </w:r>
    </w:p>
    <w:p w:rsidR="002168A9" w:rsidRDefault="002168A9" w:rsidP="002168A9">
      <w:pPr>
        <w:rPr>
          <w:szCs w:val="22"/>
        </w:rPr>
      </w:pPr>
    </w:p>
    <w:p w:rsidR="00806B72" w:rsidRPr="003D3234" w:rsidRDefault="002168A9" w:rsidP="003D3234">
      <w:pPr>
        <w:pStyle w:val="ONUME"/>
      </w:pPr>
      <w:r w:rsidRPr="003D3234">
        <w:t>At its thirty-fourth (15</w:t>
      </w:r>
      <w:r w:rsidRPr="00F12764">
        <w:rPr>
          <w:vertAlign w:val="superscript"/>
        </w:rPr>
        <w:t>th</w:t>
      </w:r>
      <w:r w:rsidR="003D3234">
        <w:t> </w:t>
      </w:r>
      <w:r w:rsidR="00C90D77">
        <w:t>e</w:t>
      </w:r>
      <w:r w:rsidRPr="003D3234">
        <w:t>xtraordinary) session, which took place in Geneva from September 22 to</w:t>
      </w:r>
      <w:r w:rsidR="003D3234">
        <w:t> </w:t>
      </w:r>
      <w:r w:rsidRPr="003D3234">
        <w:t>30, 2014, the Assembly of the Hague Union adopted amendments to the Common Regulations under the 1999 Act and the 1960 Act of the Hague Agreement.</w:t>
      </w:r>
    </w:p>
    <w:p w:rsidR="002168A9" w:rsidRPr="003D3234" w:rsidRDefault="002168A9" w:rsidP="00302B3B">
      <w:pPr>
        <w:pStyle w:val="ONUME"/>
      </w:pPr>
      <w:r w:rsidRPr="003D3234">
        <w:t xml:space="preserve">The </w:t>
      </w:r>
      <w:r w:rsidR="00270DAF" w:rsidRPr="003D3234">
        <w:t xml:space="preserve">general </w:t>
      </w:r>
      <w:r w:rsidRPr="003D3234">
        <w:t>purpose of the amendments to Rule</w:t>
      </w:r>
      <w:r w:rsidR="00AB11DE" w:rsidRPr="003D3234">
        <w:t>s</w:t>
      </w:r>
      <w:r w:rsidRPr="003D3234">
        <w:t> 18(4)</w:t>
      </w:r>
      <w:r w:rsidR="00AB11DE" w:rsidRPr="003D3234">
        <w:t xml:space="preserve"> and</w:t>
      </w:r>
      <w:r w:rsidR="003D3234">
        <w:t> </w:t>
      </w:r>
      <w:proofErr w:type="gramStart"/>
      <w:r w:rsidRPr="003D3234">
        <w:t>18</w:t>
      </w:r>
      <w:r w:rsidRPr="00F12764">
        <w:rPr>
          <w:i/>
        </w:rPr>
        <w:t>bis</w:t>
      </w:r>
      <w:r w:rsidRPr="003D3234">
        <w:t>(</w:t>
      </w:r>
      <w:proofErr w:type="gramEnd"/>
      <w:r w:rsidRPr="003D3234">
        <w:t>1) and</w:t>
      </w:r>
      <w:r w:rsidR="003D3234">
        <w:t> </w:t>
      </w:r>
      <w:r w:rsidRPr="003D3234">
        <w:t>(2) of the Common Regulations is t</w:t>
      </w:r>
      <w:r w:rsidR="00C61E71" w:rsidRPr="003D3234">
        <w:t>o</w:t>
      </w:r>
      <w:r w:rsidR="001D36A6" w:rsidRPr="003D3234">
        <w:t xml:space="preserve"> </w:t>
      </w:r>
      <w:r w:rsidR="0059589B" w:rsidRPr="003D3234">
        <w:t xml:space="preserve">enhance transparency concerning the scope of protection </w:t>
      </w:r>
      <w:r w:rsidR="000A4F19" w:rsidRPr="003D3234">
        <w:t xml:space="preserve">of the industrial design that </w:t>
      </w:r>
      <w:r w:rsidR="003D3234">
        <w:t>is</w:t>
      </w:r>
      <w:r w:rsidR="000A4F19" w:rsidRPr="003D3234">
        <w:t xml:space="preserve"> the subject of </w:t>
      </w:r>
      <w:r w:rsidR="00DA3F78" w:rsidRPr="003D3234">
        <w:t>the international registration</w:t>
      </w:r>
      <w:r w:rsidR="000A4F19" w:rsidRPr="003D3234">
        <w:t xml:space="preserve"> as amended in the procedure before the Office,</w:t>
      </w:r>
      <w:r w:rsidR="00DA3F78" w:rsidRPr="003D3234">
        <w:t xml:space="preserve"> where applicable</w:t>
      </w:r>
      <w:r w:rsidR="001D36A6" w:rsidRPr="003D3234">
        <w:t>,</w:t>
      </w:r>
      <w:r w:rsidR="000A4F19" w:rsidRPr="003D3234">
        <w:t xml:space="preserve"> </w:t>
      </w:r>
      <w:r w:rsidR="0059589B" w:rsidRPr="003D3234">
        <w:t xml:space="preserve">and </w:t>
      </w:r>
      <w:r w:rsidR="001D36A6" w:rsidRPr="003D3234">
        <w:t xml:space="preserve">improve the information on </w:t>
      </w:r>
      <w:r w:rsidR="0059589B" w:rsidRPr="003D3234">
        <w:t xml:space="preserve">the status of the international registration in a designated Contracting Party.  </w:t>
      </w:r>
      <w:r w:rsidR="00302B3B">
        <w:t>These amendments have to be read in line with the International Bureau’s intention to start making the copies of notifications of refusal and withdrawal of refusal, as well as statements of grant of protection, publicly available</w:t>
      </w:r>
      <w:r w:rsidR="00302B3B" w:rsidRPr="00187673">
        <w:t xml:space="preserve"> alongside the publication in the </w:t>
      </w:r>
      <w:r w:rsidR="00302B3B" w:rsidRPr="004A7D63">
        <w:rPr>
          <w:i/>
        </w:rPr>
        <w:t>International Designs Bulletin</w:t>
      </w:r>
      <w:r w:rsidR="00302B3B" w:rsidRPr="00187673">
        <w:t xml:space="preserve"> of the recording of any refusal, withdrawal of refusal or statement of grant of protection.</w:t>
      </w:r>
    </w:p>
    <w:p w:rsidR="00270DAF" w:rsidRPr="003D3234" w:rsidRDefault="00EE589B" w:rsidP="003D3234">
      <w:pPr>
        <w:pStyle w:val="ONUME"/>
      </w:pPr>
      <w:r w:rsidRPr="003D3234">
        <w:t>A</w:t>
      </w:r>
      <w:r w:rsidR="002168A9" w:rsidRPr="003D3234">
        <w:t xml:space="preserve">mendments </w:t>
      </w:r>
      <w:r w:rsidRPr="003D3234">
        <w:t>were also made</w:t>
      </w:r>
      <w:r w:rsidR="002168A9" w:rsidRPr="003D3234">
        <w:t xml:space="preserve"> with respect to the Schedule of Fees </w:t>
      </w:r>
      <w:r w:rsidRPr="003D3234">
        <w:t xml:space="preserve">to </w:t>
      </w:r>
      <w:r w:rsidR="002168A9" w:rsidRPr="003D3234">
        <w:t xml:space="preserve">authorize the International Bureau to collect a fee for the provision of additional services that may be </w:t>
      </w:r>
      <w:r w:rsidRPr="003D3234">
        <w:t>offered</w:t>
      </w:r>
      <w:r w:rsidR="003D3234">
        <w:t xml:space="preserve"> in the future.</w:t>
      </w:r>
    </w:p>
    <w:p w:rsidR="00270DAF" w:rsidRPr="003D3234" w:rsidRDefault="00270DAF" w:rsidP="003D3234">
      <w:pPr>
        <w:pStyle w:val="ONUME"/>
      </w:pPr>
      <w:r w:rsidRPr="003D3234">
        <w:t>The amended text of the Common Regulations is reproduced in the Annex to this Information Notice.</w:t>
      </w:r>
    </w:p>
    <w:p w:rsidR="00270DAF" w:rsidRPr="003D3234" w:rsidRDefault="00270DAF" w:rsidP="003D3234">
      <w:pPr>
        <w:pStyle w:val="ONUME"/>
      </w:pPr>
      <w:r w:rsidRPr="003D3234">
        <w:t>Th</w:t>
      </w:r>
      <w:r w:rsidR="00EE589B" w:rsidRPr="003D3234">
        <w:t>e purpose of th</w:t>
      </w:r>
      <w:r w:rsidR="00830FF2" w:rsidRPr="003D3234">
        <w:t>is</w:t>
      </w:r>
      <w:r w:rsidRPr="003D3234">
        <w:t xml:space="preserve"> Information Notice </w:t>
      </w:r>
      <w:r w:rsidR="00EE589B" w:rsidRPr="003D3234">
        <w:t>is to explain</w:t>
      </w:r>
      <w:r w:rsidRPr="003D3234">
        <w:t xml:space="preserve"> the </w:t>
      </w:r>
      <w:r w:rsidR="00973B65" w:rsidRPr="003D3234">
        <w:t xml:space="preserve">operation of the </w:t>
      </w:r>
      <w:r w:rsidRPr="003D3234">
        <w:t>amendments to Rules</w:t>
      </w:r>
      <w:r w:rsidR="003D3234">
        <w:t> </w:t>
      </w:r>
      <w:r w:rsidRPr="003D3234">
        <w:t>18(4) and</w:t>
      </w:r>
      <w:r w:rsidR="003D3234">
        <w:t> </w:t>
      </w:r>
      <w:proofErr w:type="gramStart"/>
      <w:r w:rsidRPr="003D3234">
        <w:t>18</w:t>
      </w:r>
      <w:r w:rsidRPr="00F12764">
        <w:rPr>
          <w:i/>
        </w:rPr>
        <w:t>bis</w:t>
      </w:r>
      <w:r w:rsidRPr="003D3234">
        <w:t>(</w:t>
      </w:r>
      <w:proofErr w:type="gramEnd"/>
      <w:r w:rsidRPr="003D3234">
        <w:t>1) and</w:t>
      </w:r>
      <w:r w:rsidR="003D3234">
        <w:t> </w:t>
      </w:r>
      <w:r w:rsidRPr="003D3234">
        <w:t xml:space="preserve">(2). </w:t>
      </w:r>
      <w:r w:rsidR="003D3234">
        <w:t xml:space="preserve"> </w:t>
      </w:r>
      <w:r w:rsidRPr="003D3234">
        <w:t xml:space="preserve">A more detailed presentation of </w:t>
      </w:r>
      <w:r w:rsidR="00973B65" w:rsidRPr="003D3234">
        <w:t xml:space="preserve">all </w:t>
      </w:r>
      <w:r w:rsidRPr="003D3234">
        <w:t xml:space="preserve">the amendments </w:t>
      </w:r>
      <w:r w:rsidR="00973B65" w:rsidRPr="003D3234">
        <w:t>and their rationale</w:t>
      </w:r>
      <w:r w:rsidRPr="003D3234">
        <w:t xml:space="preserve"> can be found in the Hague Union Assembly document</w:t>
      </w:r>
      <w:r w:rsidR="003D3234">
        <w:t> </w:t>
      </w:r>
      <w:r w:rsidRPr="003D3234">
        <w:t>H/A/34/2, which is available on the WIPO web site at the following address:  http://www.wipo.int/meetings/en/doc_details.jsp?doc_id=281046, and in the Working Group documents</w:t>
      </w:r>
      <w:r w:rsidR="003D3234">
        <w:t> </w:t>
      </w:r>
      <w:r w:rsidRPr="003D3234">
        <w:t>H/LD/WG/4/2 and</w:t>
      </w:r>
      <w:r w:rsidR="003D3234">
        <w:t> </w:t>
      </w:r>
      <w:r w:rsidRPr="003D3234">
        <w:t xml:space="preserve">H/LD/WG/4/3, available on the WIPO web site at the following address: </w:t>
      </w:r>
      <w:r w:rsidR="00943207">
        <w:t xml:space="preserve"> </w:t>
      </w:r>
      <w:r w:rsidRPr="003D3234">
        <w:t>http://www.wipo.int/meetings/en/details.jsp?meeting_id=32042.</w:t>
      </w:r>
    </w:p>
    <w:p w:rsidR="003D3234" w:rsidRDefault="003D3234">
      <w:pPr>
        <w:rPr>
          <w:b/>
          <w:bCs/>
          <w:caps/>
          <w:kern w:val="32"/>
          <w:szCs w:val="32"/>
        </w:rPr>
      </w:pPr>
      <w:r>
        <w:br w:type="page"/>
      </w:r>
    </w:p>
    <w:p w:rsidR="00974F9A" w:rsidRDefault="00973B65" w:rsidP="00F12764">
      <w:pPr>
        <w:pStyle w:val="Heading1"/>
        <w:spacing w:before="480"/>
      </w:pPr>
      <w:r>
        <w:lastRenderedPageBreak/>
        <w:t>INTRODUCTION OF A “</w:t>
      </w:r>
      <w:r w:rsidR="00974F9A">
        <w:t>FEEDBACK MECHANISM</w:t>
      </w:r>
      <w:r w:rsidR="003826AA">
        <w:t>”</w:t>
      </w:r>
    </w:p>
    <w:p w:rsidR="003D3234" w:rsidRPr="003D3234" w:rsidRDefault="003D3234" w:rsidP="00D10F82"/>
    <w:p w:rsidR="001F7ADA" w:rsidRPr="00B63094" w:rsidRDefault="002168A9" w:rsidP="00F12764">
      <w:pPr>
        <w:pStyle w:val="ONUME"/>
      </w:pPr>
      <w:r w:rsidRPr="003D3234">
        <w:t>It is recalled that Article</w:t>
      </w:r>
      <w:r w:rsidR="00B63094">
        <w:t> </w:t>
      </w:r>
      <w:r w:rsidRPr="003D3234">
        <w:t>14(2)</w:t>
      </w:r>
      <w:r w:rsidR="000A0FAF" w:rsidRPr="003D3234">
        <w:t>(c)</w:t>
      </w:r>
      <w:r w:rsidRPr="003D3234">
        <w:t xml:space="preserve"> of the 1999</w:t>
      </w:r>
      <w:r w:rsidR="00B63094">
        <w:t> </w:t>
      </w:r>
      <w:r w:rsidRPr="003D3234">
        <w:t>Act provides that the effect given to the international registration under Article</w:t>
      </w:r>
      <w:r w:rsidR="00B63094">
        <w:t> </w:t>
      </w:r>
      <w:r w:rsidRPr="003D3234">
        <w:t>14(2)(a) and</w:t>
      </w:r>
      <w:r w:rsidR="00B63094">
        <w:t> </w:t>
      </w:r>
      <w:r w:rsidRPr="003D3234">
        <w:t>(b) shall apply to the industrial design as received from the International Bureau by the Office of a designated Contracting Party or, where applicable, “as amended in a procedure before that Office”.</w:t>
      </w:r>
    </w:p>
    <w:p w:rsidR="00E52A24" w:rsidRPr="003D3234" w:rsidRDefault="00B63094" w:rsidP="00F12764">
      <w:pPr>
        <w:pStyle w:val="ONUME"/>
      </w:pPr>
      <w:r>
        <w:t>N</w:t>
      </w:r>
      <w:r w:rsidR="00107289" w:rsidRPr="00B63094">
        <w:t xml:space="preserve">ew </w:t>
      </w:r>
      <w:r w:rsidR="00D8682F" w:rsidRPr="00B63094">
        <w:t>subparagraphs</w:t>
      </w:r>
      <w:r>
        <w:t> </w:t>
      </w:r>
      <w:r w:rsidR="00D8682F" w:rsidRPr="00B63094">
        <w:t xml:space="preserve">(c) of </w:t>
      </w:r>
      <w:r w:rsidR="002168A9" w:rsidRPr="00B63094">
        <w:t>Rule</w:t>
      </w:r>
      <w:r>
        <w:t> </w:t>
      </w:r>
      <w:r w:rsidR="002168A9" w:rsidRPr="00B63094">
        <w:t>18(4) and Rule</w:t>
      </w:r>
      <w:r>
        <w:t> </w:t>
      </w:r>
      <w:r w:rsidR="002168A9" w:rsidRPr="00B63094">
        <w:t>18</w:t>
      </w:r>
      <w:r w:rsidR="002168A9" w:rsidRPr="003D3234">
        <w:rPr>
          <w:i/>
        </w:rPr>
        <w:t>bis</w:t>
      </w:r>
      <w:r w:rsidR="002168A9" w:rsidRPr="003D3234">
        <w:t>(1)</w:t>
      </w:r>
      <w:r>
        <w:t xml:space="preserve"> </w:t>
      </w:r>
      <w:r w:rsidR="002168A9" w:rsidRPr="003D3234">
        <w:t>and</w:t>
      </w:r>
      <w:r>
        <w:t> </w:t>
      </w:r>
      <w:r w:rsidR="002168A9" w:rsidRPr="003D3234">
        <w:t xml:space="preserve">(2) </w:t>
      </w:r>
      <w:r w:rsidR="00D8682F" w:rsidRPr="003D3234">
        <w:t xml:space="preserve">prescribe </w:t>
      </w:r>
      <w:r w:rsidR="005574D5" w:rsidRPr="003D3234">
        <w:t>th</w:t>
      </w:r>
      <w:r w:rsidR="00F74B88" w:rsidRPr="003D3234">
        <w:t>at</w:t>
      </w:r>
      <w:r w:rsidR="002C6DF9" w:rsidRPr="003D3234">
        <w:t xml:space="preserve">, where the international registration was amended in a procedure before the Office, </w:t>
      </w:r>
      <w:r w:rsidR="005574D5" w:rsidRPr="00B63094">
        <w:t xml:space="preserve">the </w:t>
      </w:r>
      <w:r w:rsidR="00973B65" w:rsidRPr="00B63094">
        <w:t xml:space="preserve">ensuing </w:t>
      </w:r>
      <w:r w:rsidR="005574D5" w:rsidRPr="00661E11">
        <w:t xml:space="preserve">statement </w:t>
      </w:r>
      <w:r w:rsidR="009B7483" w:rsidRPr="00661E11">
        <w:t>of grant of protection or</w:t>
      </w:r>
      <w:r w:rsidR="005574D5" w:rsidRPr="00661E11">
        <w:t xml:space="preserve"> the notification</w:t>
      </w:r>
      <w:r w:rsidR="001B4C91" w:rsidRPr="00F12764">
        <w:t xml:space="preserve"> </w:t>
      </w:r>
      <w:r w:rsidR="009B7483" w:rsidRPr="00F12764">
        <w:t xml:space="preserve">of withdrawal of refusal </w:t>
      </w:r>
      <w:r w:rsidR="00973B65" w:rsidRPr="00F12764">
        <w:t xml:space="preserve">issued by that Office </w:t>
      </w:r>
      <w:r w:rsidR="00F74B88" w:rsidRPr="00F12764">
        <w:t>shall</w:t>
      </w:r>
      <w:r w:rsidR="00826AE5" w:rsidRPr="00F12764">
        <w:t xml:space="preserve"> </w:t>
      </w:r>
      <w:r w:rsidR="009D6077" w:rsidRPr="00F12764">
        <w:t xml:space="preserve">now </w:t>
      </w:r>
      <w:r w:rsidR="00571F30" w:rsidRPr="00F12764">
        <w:t>contain</w:t>
      </w:r>
      <w:r w:rsidR="005574D5" w:rsidRPr="00F12764">
        <w:t xml:space="preserve"> or </w:t>
      </w:r>
      <w:r w:rsidR="00571F30" w:rsidRPr="00F12764">
        <w:t>indicate</w:t>
      </w:r>
      <w:r w:rsidR="005574D5" w:rsidRPr="00F12764">
        <w:t xml:space="preserve"> all </w:t>
      </w:r>
      <w:r w:rsidR="00973B65" w:rsidRPr="00F12764">
        <w:t xml:space="preserve">such </w:t>
      </w:r>
      <w:r w:rsidR="005574D5" w:rsidRPr="00F12764">
        <w:t xml:space="preserve">amendments.  </w:t>
      </w:r>
      <w:r w:rsidR="004027E1" w:rsidRPr="00F12764">
        <w:t>Understandably, however, t</w:t>
      </w:r>
      <w:r w:rsidR="00B404CB" w:rsidRPr="00F12764">
        <w:t xml:space="preserve">he information on amendments </w:t>
      </w:r>
      <w:r w:rsidR="00E52A24" w:rsidRPr="00F12764">
        <w:t>could</w:t>
      </w:r>
      <w:r w:rsidR="00B404CB" w:rsidRPr="00F12764">
        <w:t xml:space="preserve"> be provided in the language in which the Office detains it, even if it </w:t>
      </w:r>
      <w:r w:rsidR="00E52A24" w:rsidRPr="00F12764">
        <w:t xml:space="preserve">is </w:t>
      </w:r>
      <w:r w:rsidR="00B404CB" w:rsidRPr="00F12764">
        <w:t>a language other than the working language used for the statement or notification concerned.</w:t>
      </w:r>
    </w:p>
    <w:p w:rsidR="009D4E66" w:rsidRPr="003D3234" w:rsidRDefault="00B03421" w:rsidP="00F12764">
      <w:pPr>
        <w:pStyle w:val="ONUME"/>
      </w:pPr>
      <w:r w:rsidRPr="003D3234">
        <w:rPr>
          <w:rFonts w:eastAsia="Times New Roman"/>
          <w:szCs w:val="22"/>
          <w:lang w:eastAsia="ja-JP"/>
        </w:rPr>
        <w:t>As indicated in paragraph</w:t>
      </w:r>
      <w:r w:rsidR="00B63094">
        <w:rPr>
          <w:rFonts w:eastAsia="Times New Roman"/>
          <w:szCs w:val="22"/>
          <w:lang w:eastAsia="ja-JP"/>
        </w:rPr>
        <w:t> </w:t>
      </w:r>
      <w:r w:rsidRPr="003D3234">
        <w:rPr>
          <w:rFonts w:eastAsia="Times New Roman"/>
          <w:szCs w:val="22"/>
          <w:lang w:eastAsia="ja-JP"/>
        </w:rPr>
        <w:t>2, above, and</w:t>
      </w:r>
      <w:r w:rsidR="00B63094">
        <w:rPr>
          <w:rFonts w:eastAsia="Times New Roman"/>
          <w:szCs w:val="22"/>
          <w:lang w:eastAsia="ja-JP"/>
        </w:rPr>
        <w:t xml:space="preserve"> in order</w:t>
      </w:r>
      <w:r w:rsidR="00E52A24" w:rsidRPr="003D3234">
        <w:rPr>
          <w:rFonts w:eastAsia="Times New Roman"/>
          <w:szCs w:val="22"/>
          <w:lang w:eastAsia="ja-JP"/>
        </w:rPr>
        <w:t xml:space="preserve"> for the “Feedback Mechanism” to fulfill its public information function, </w:t>
      </w:r>
      <w:r w:rsidR="009D4E66" w:rsidRPr="003D3234">
        <w:rPr>
          <w:rFonts w:eastAsia="Times New Roman"/>
          <w:szCs w:val="22"/>
          <w:lang w:eastAsia="ja-JP"/>
        </w:rPr>
        <w:t xml:space="preserve">information relating to the amendments will be made </w:t>
      </w:r>
      <w:r w:rsidR="00F754DA" w:rsidRPr="003D3234">
        <w:rPr>
          <w:rFonts w:eastAsia="Times New Roman"/>
          <w:szCs w:val="22"/>
          <w:lang w:eastAsia="ja-JP"/>
        </w:rPr>
        <w:t xml:space="preserve">publicly </w:t>
      </w:r>
      <w:r w:rsidR="009D4E66" w:rsidRPr="003D3234">
        <w:rPr>
          <w:rFonts w:eastAsia="Times New Roman"/>
          <w:szCs w:val="22"/>
          <w:lang w:eastAsia="ja-JP"/>
        </w:rPr>
        <w:t xml:space="preserve">available through </w:t>
      </w:r>
      <w:r w:rsidR="00E52A24" w:rsidRPr="003D3234">
        <w:rPr>
          <w:rFonts w:eastAsia="Times New Roman"/>
          <w:szCs w:val="22"/>
          <w:lang w:eastAsia="ja-JP"/>
        </w:rPr>
        <w:t xml:space="preserve">the </w:t>
      </w:r>
      <w:r w:rsidR="00E52A24" w:rsidRPr="00F12764">
        <w:rPr>
          <w:rFonts w:eastAsia="Times New Roman"/>
          <w:i/>
          <w:szCs w:val="22"/>
          <w:lang w:eastAsia="ja-JP"/>
        </w:rPr>
        <w:t>International Designs Bulletin</w:t>
      </w:r>
      <w:r w:rsidR="00E52A24" w:rsidRPr="003D3234">
        <w:rPr>
          <w:rFonts w:eastAsia="Times New Roman"/>
          <w:szCs w:val="22"/>
          <w:lang w:eastAsia="ja-JP"/>
        </w:rPr>
        <w:t xml:space="preserve"> </w:t>
      </w:r>
      <w:r w:rsidR="00F754DA" w:rsidRPr="003D3234">
        <w:rPr>
          <w:rFonts w:eastAsia="Times New Roman"/>
          <w:szCs w:val="22"/>
          <w:lang w:eastAsia="ja-JP"/>
        </w:rPr>
        <w:t>by reproducing</w:t>
      </w:r>
      <w:r w:rsidR="009D4E66" w:rsidRPr="003D3234">
        <w:rPr>
          <w:rFonts w:eastAsia="Times New Roman"/>
          <w:szCs w:val="22"/>
          <w:lang w:eastAsia="ja-JP"/>
        </w:rPr>
        <w:t xml:space="preserve"> </w:t>
      </w:r>
      <w:r w:rsidR="00E52A24" w:rsidRPr="003D3234">
        <w:rPr>
          <w:rFonts w:eastAsia="Times New Roman"/>
          <w:szCs w:val="22"/>
          <w:lang w:eastAsia="ja-JP"/>
        </w:rPr>
        <w:t xml:space="preserve">a copy of the notification </w:t>
      </w:r>
      <w:r w:rsidR="009D4E66" w:rsidRPr="003D3234">
        <w:rPr>
          <w:rFonts w:eastAsia="Times New Roman"/>
          <w:szCs w:val="22"/>
          <w:lang w:eastAsia="ja-JP"/>
        </w:rPr>
        <w:t xml:space="preserve">of withdrawal of refusal </w:t>
      </w:r>
      <w:r w:rsidR="00E52A24" w:rsidRPr="003D3234">
        <w:rPr>
          <w:rFonts w:eastAsia="Times New Roman"/>
          <w:szCs w:val="22"/>
          <w:lang w:eastAsia="ja-JP"/>
        </w:rPr>
        <w:t xml:space="preserve">or statement </w:t>
      </w:r>
      <w:r w:rsidR="009D4E66" w:rsidRPr="003D3234">
        <w:rPr>
          <w:rFonts w:eastAsia="Times New Roman"/>
          <w:szCs w:val="22"/>
          <w:lang w:eastAsia="ja-JP"/>
        </w:rPr>
        <w:t xml:space="preserve">of grant of protection </w:t>
      </w:r>
      <w:r w:rsidR="00E52A24" w:rsidRPr="003D3234">
        <w:rPr>
          <w:rFonts w:eastAsia="Times New Roman"/>
          <w:szCs w:val="22"/>
          <w:lang w:eastAsia="ja-JP"/>
        </w:rPr>
        <w:t>received.</w:t>
      </w:r>
    </w:p>
    <w:p w:rsidR="00E52A24" w:rsidRDefault="00E52A24" w:rsidP="00F12764">
      <w:pPr>
        <w:pStyle w:val="Heading1"/>
        <w:spacing w:before="480"/>
      </w:pPr>
      <w:r w:rsidRPr="00356E31">
        <w:t xml:space="preserve">INDICATION OF THE DATE OF EFFECT OF </w:t>
      </w:r>
      <w:r w:rsidR="00B63094">
        <w:t>THE INTERNATIONAL REGISTRATION</w:t>
      </w:r>
    </w:p>
    <w:p w:rsidR="00B63094" w:rsidRPr="00B63094" w:rsidRDefault="00B63094" w:rsidP="00D10F82"/>
    <w:p w:rsidR="00B404CB" w:rsidRPr="00D10F82" w:rsidRDefault="00E52A24" w:rsidP="00F12764">
      <w:pPr>
        <w:pStyle w:val="ONUME"/>
      </w:pPr>
      <w:r w:rsidRPr="003D3234">
        <w:t>New Rule</w:t>
      </w:r>
      <w:r w:rsidR="00D10F82">
        <w:t> </w:t>
      </w:r>
      <w:r w:rsidRPr="003D3234">
        <w:t>18(4)(b)(iv)</w:t>
      </w:r>
      <w:r w:rsidR="00907D37" w:rsidRPr="003D3234">
        <w:t xml:space="preserve"> and Rule</w:t>
      </w:r>
      <w:r w:rsidR="00D10F82">
        <w:t> </w:t>
      </w:r>
      <w:r w:rsidRPr="003D3234">
        <w:t>18</w:t>
      </w:r>
      <w:r w:rsidRPr="00F12764">
        <w:rPr>
          <w:i/>
        </w:rPr>
        <w:t>bis</w:t>
      </w:r>
      <w:r w:rsidRPr="003D3234">
        <w:t>(1)(b)(iv) and</w:t>
      </w:r>
      <w:r w:rsidR="00D10F82">
        <w:t> </w:t>
      </w:r>
      <w:r w:rsidRPr="003D3234">
        <w:t xml:space="preserve">(2)(b)(iv) make it compulsory for Offices </w:t>
      </w:r>
      <w:r w:rsidRPr="00D10F82">
        <w:t>to indicate in their statements of grant of protection and notifications of withdrawal of refusal the date on which the international registration produced or will produce the effect as a grant of protection under the applicable law.  Depending on the applicable law, the said date may be different from the date of the statement or notification</w:t>
      </w:r>
      <w:r w:rsidRPr="00661E11">
        <w:t xml:space="preserve">. </w:t>
      </w:r>
      <w:r w:rsidR="00D10F82">
        <w:t xml:space="preserve"> </w:t>
      </w:r>
      <w:r w:rsidR="005407B6" w:rsidRPr="00D10F82">
        <w:t xml:space="preserve">The International Bureau will include that date as part of the </w:t>
      </w:r>
      <w:r w:rsidR="00150C00" w:rsidRPr="00D10F82">
        <w:t>publication of the recording of any statement of grant of prote</w:t>
      </w:r>
      <w:r w:rsidR="00D10F82">
        <w:t>ction or withdrawal of refusal.</w:t>
      </w:r>
    </w:p>
    <w:p w:rsidR="00BF545C" w:rsidRDefault="00BF545C" w:rsidP="00F12764">
      <w:pPr>
        <w:pStyle w:val="Heading1"/>
        <w:spacing w:before="480"/>
      </w:pPr>
      <w:r w:rsidRPr="00B404CB">
        <w:t>STATEMENT OF GRANT OF PROTECTION</w:t>
      </w:r>
      <w:r w:rsidR="007D5E31" w:rsidRPr="00B404CB">
        <w:t xml:space="preserve"> </w:t>
      </w:r>
      <w:r w:rsidR="00EE589B">
        <w:t>MADE COMPULSORY IN CERTAIN CIRCUMSTANCES</w:t>
      </w:r>
    </w:p>
    <w:p w:rsidR="00B63094" w:rsidRPr="00B63094" w:rsidRDefault="00B63094" w:rsidP="00D10F82"/>
    <w:p w:rsidR="00FD4261" w:rsidRPr="003D3234" w:rsidRDefault="001A6F45" w:rsidP="00F12764">
      <w:pPr>
        <w:pStyle w:val="ONUME"/>
        <w:rPr>
          <w:szCs w:val="22"/>
        </w:rPr>
      </w:pPr>
      <w:r w:rsidRPr="003D3234">
        <w:rPr>
          <w:rFonts w:eastAsia="Times New Roman"/>
          <w:szCs w:val="22"/>
          <w:lang w:eastAsia="ja-JP"/>
        </w:rPr>
        <w:t>To enhance the transparency of the status of the international registration in a designated Contracting Party</w:t>
      </w:r>
      <w:r w:rsidR="00D1770F" w:rsidRPr="003D3234">
        <w:rPr>
          <w:rFonts w:eastAsia="Times New Roman"/>
          <w:szCs w:val="22"/>
          <w:lang w:eastAsia="ja-JP"/>
        </w:rPr>
        <w:t>, n</w:t>
      </w:r>
      <w:r w:rsidR="002B7361" w:rsidRPr="003D3234">
        <w:rPr>
          <w:rFonts w:eastAsia="Times New Roman"/>
          <w:szCs w:val="22"/>
          <w:lang w:eastAsia="ja-JP"/>
        </w:rPr>
        <w:t>ew subparagraph</w:t>
      </w:r>
      <w:r w:rsidR="00D10F82">
        <w:rPr>
          <w:rFonts w:eastAsia="Times New Roman"/>
          <w:szCs w:val="22"/>
          <w:lang w:eastAsia="ja-JP"/>
        </w:rPr>
        <w:t> </w:t>
      </w:r>
      <w:r w:rsidR="002B7361" w:rsidRPr="003D3234">
        <w:rPr>
          <w:rFonts w:eastAsia="Times New Roman"/>
          <w:szCs w:val="22"/>
          <w:lang w:eastAsia="ja-JP"/>
        </w:rPr>
        <w:t>(d) of Rule</w:t>
      </w:r>
      <w:r w:rsidR="00D10F82">
        <w:rPr>
          <w:rFonts w:eastAsia="Times New Roman"/>
          <w:szCs w:val="22"/>
          <w:lang w:eastAsia="ja-JP"/>
        </w:rPr>
        <w:t> </w:t>
      </w:r>
      <w:r w:rsidR="002B7361" w:rsidRPr="003D3234">
        <w:rPr>
          <w:rFonts w:eastAsia="Times New Roman"/>
          <w:szCs w:val="22"/>
          <w:lang w:eastAsia="ja-JP"/>
        </w:rPr>
        <w:t>18</w:t>
      </w:r>
      <w:r w:rsidR="002B7361" w:rsidRPr="003D3234">
        <w:rPr>
          <w:rFonts w:eastAsia="Times New Roman"/>
          <w:i/>
          <w:iCs/>
          <w:szCs w:val="22"/>
          <w:lang w:eastAsia="ja-JP"/>
        </w:rPr>
        <w:t>bis</w:t>
      </w:r>
      <w:r w:rsidR="002B7361" w:rsidRPr="003D3234">
        <w:rPr>
          <w:rFonts w:eastAsia="Times New Roman"/>
          <w:szCs w:val="22"/>
          <w:lang w:eastAsia="ja-JP"/>
        </w:rPr>
        <w:t xml:space="preserve">(1) makes the </w:t>
      </w:r>
      <w:r w:rsidR="00F45BD1" w:rsidRPr="003D3234">
        <w:rPr>
          <w:rFonts w:eastAsia="Times New Roman"/>
          <w:szCs w:val="22"/>
          <w:lang w:eastAsia="ja-JP"/>
        </w:rPr>
        <w:t xml:space="preserve">communication </w:t>
      </w:r>
      <w:r w:rsidR="002B7361" w:rsidRPr="003D3234">
        <w:rPr>
          <w:rFonts w:eastAsia="Times New Roman"/>
          <w:szCs w:val="22"/>
          <w:lang w:eastAsia="ja-JP"/>
        </w:rPr>
        <w:t>of a statement of grant of protection mandatory</w:t>
      </w:r>
      <w:r w:rsidR="0097697E" w:rsidRPr="003D3234">
        <w:rPr>
          <w:rFonts w:eastAsia="Times New Roman"/>
          <w:szCs w:val="22"/>
          <w:lang w:eastAsia="ja-JP"/>
        </w:rPr>
        <w:t xml:space="preserve"> </w:t>
      </w:r>
      <w:r w:rsidR="00BB7F37" w:rsidRPr="003D3234">
        <w:rPr>
          <w:rFonts w:eastAsia="Times New Roman"/>
          <w:szCs w:val="22"/>
          <w:lang w:eastAsia="ja-JP"/>
        </w:rPr>
        <w:t xml:space="preserve">in two circumstances </w:t>
      </w:r>
      <w:r w:rsidR="00DE4A66" w:rsidRPr="003D3234">
        <w:rPr>
          <w:rFonts w:eastAsia="Times New Roman"/>
          <w:szCs w:val="22"/>
          <w:lang w:eastAsia="ja-JP"/>
        </w:rPr>
        <w:t xml:space="preserve">where no notification of refusal </w:t>
      </w:r>
      <w:r w:rsidR="00BB7F37" w:rsidRPr="003D3234">
        <w:rPr>
          <w:rFonts w:eastAsia="Times New Roman"/>
          <w:szCs w:val="22"/>
          <w:lang w:eastAsia="ja-JP"/>
        </w:rPr>
        <w:t>was first</w:t>
      </w:r>
      <w:r w:rsidR="00DE4A66" w:rsidRPr="003D3234">
        <w:rPr>
          <w:rFonts w:eastAsia="Times New Roman"/>
          <w:szCs w:val="22"/>
          <w:lang w:eastAsia="ja-JP"/>
        </w:rPr>
        <w:t xml:space="preserve"> communicated</w:t>
      </w:r>
      <w:r w:rsidR="00BB7F37" w:rsidRPr="003D3234">
        <w:rPr>
          <w:rFonts w:eastAsia="Times New Roman"/>
          <w:szCs w:val="22"/>
          <w:lang w:eastAsia="ja-JP"/>
        </w:rPr>
        <w:t>.</w:t>
      </w:r>
    </w:p>
    <w:p w:rsidR="00C70030" w:rsidRPr="003D3234" w:rsidRDefault="0070789F" w:rsidP="00F12764">
      <w:pPr>
        <w:pStyle w:val="ONUME"/>
        <w:rPr>
          <w:szCs w:val="22"/>
        </w:rPr>
      </w:pPr>
      <w:r w:rsidRPr="003D3234">
        <w:rPr>
          <w:rFonts w:eastAsia="Times New Roman"/>
          <w:szCs w:val="22"/>
          <w:lang w:eastAsia="ja-JP"/>
        </w:rPr>
        <w:t xml:space="preserve">The first </w:t>
      </w:r>
      <w:r w:rsidR="00DB421D" w:rsidRPr="003D3234">
        <w:rPr>
          <w:rFonts w:eastAsia="Times New Roman"/>
          <w:szCs w:val="22"/>
          <w:lang w:eastAsia="ja-JP"/>
        </w:rPr>
        <w:t>circumstance</w:t>
      </w:r>
      <w:r w:rsidRPr="003D3234">
        <w:rPr>
          <w:rFonts w:eastAsia="Times New Roman"/>
          <w:szCs w:val="22"/>
          <w:lang w:eastAsia="ja-JP"/>
        </w:rPr>
        <w:t xml:space="preserve"> is where </w:t>
      </w:r>
      <w:r w:rsidR="00DB421D" w:rsidRPr="003D3234">
        <w:rPr>
          <w:rFonts w:eastAsia="Times New Roman"/>
          <w:szCs w:val="22"/>
          <w:lang w:eastAsia="ja-JP"/>
        </w:rPr>
        <w:t>a Contracting Party has made a declaration under Rule</w:t>
      </w:r>
      <w:r w:rsidR="00D10F82">
        <w:rPr>
          <w:rFonts w:eastAsia="Times New Roman"/>
          <w:szCs w:val="22"/>
          <w:lang w:eastAsia="ja-JP"/>
        </w:rPr>
        <w:t> </w:t>
      </w:r>
      <w:r w:rsidR="00DB421D" w:rsidRPr="003D3234">
        <w:rPr>
          <w:rFonts w:eastAsia="Times New Roman"/>
          <w:szCs w:val="22"/>
          <w:lang w:eastAsia="ja-JP"/>
        </w:rPr>
        <w:t>18(1)(b) that covers the situations envisaged under Rule</w:t>
      </w:r>
      <w:r w:rsidR="00D10F82">
        <w:rPr>
          <w:rFonts w:eastAsia="Times New Roman"/>
          <w:szCs w:val="22"/>
          <w:lang w:eastAsia="ja-JP"/>
        </w:rPr>
        <w:t> </w:t>
      </w:r>
      <w:r w:rsidR="00DB421D" w:rsidRPr="003D3234">
        <w:rPr>
          <w:rFonts w:eastAsia="Times New Roman"/>
          <w:szCs w:val="22"/>
          <w:lang w:eastAsia="ja-JP"/>
        </w:rPr>
        <w:t>18(1)(c)(</w:t>
      </w:r>
      <w:proofErr w:type="spellStart"/>
      <w:r w:rsidR="00DB421D" w:rsidRPr="003D3234">
        <w:rPr>
          <w:rFonts w:eastAsia="Times New Roman"/>
          <w:szCs w:val="22"/>
          <w:lang w:eastAsia="ja-JP"/>
        </w:rPr>
        <w:t>i</w:t>
      </w:r>
      <w:proofErr w:type="spellEnd"/>
      <w:r w:rsidR="00DB421D" w:rsidRPr="003D3234">
        <w:rPr>
          <w:rFonts w:eastAsia="Times New Roman"/>
          <w:szCs w:val="22"/>
          <w:lang w:eastAsia="ja-JP"/>
        </w:rPr>
        <w:t>)</w:t>
      </w:r>
      <w:r w:rsidR="00DB421D" w:rsidRPr="003D3234">
        <w:rPr>
          <w:rStyle w:val="FootnoteReference"/>
          <w:rFonts w:eastAsia="Times New Roman"/>
          <w:szCs w:val="22"/>
          <w:lang w:eastAsia="ja-JP"/>
        </w:rPr>
        <w:t xml:space="preserve"> </w:t>
      </w:r>
      <w:r w:rsidR="00DB421D" w:rsidRPr="003D3234">
        <w:rPr>
          <w:rFonts w:eastAsia="Times New Roman"/>
          <w:szCs w:val="22"/>
          <w:lang w:eastAsia="ja-JP"/>
        </w:rPr>
        <w:t>or</w:t>
      </w:r>
      <w:r w:rsidR="00D10F82">
        <w:rPr>
          <w:rFonts w:eastAsia="Times New Roman"/>
          <w:szCs w:val="22"/>
          <w:lang w:eastAsia="ja-JP"/>
        </w:rPr>
        <w:t> </w:t>
      </w:r>
      <w:r w:rsidR="00DB421D" w:rsidRPr="003D3234">
        <w:rPr>
          <w:rFonts w:eastAsia="Times New Roman"/>
          <w:szCs w:val="22"/>
          <w:lang w:eastAsia="ja-JP"/>
        </w:rPr>
        <w:t>(ii)</w:t>
      </w:r>
      <w:r w:rsidR="001D4C63" w:rsidRPr="003D3234">
        <w:rPr>
          <w:rStyle w:val="FootnoteReference"/>
          <w:rFonts w:eastAsia="Times New Roman"/>
          <w:szCs w:val="22"/>
          <w:lang w:eastAsia="ja-JP"/>
        </w:rPr>
        <w:t xml:space="preserve"> </w:t>
      </w:r>
      <w:r w:rsidR="001D4C63" w:rsidRPr="003D3234">
        <w:rPr>
          <w:rStyle w:val="FootnoteReference"/>
          <w:rFonts w:eastAsia="Times New Roman"/>
          <w:szCs w:val="22"/>
          <w:lang w:eastAsia="ja-JP"/>
        </w:rPr>
        <w:footnoteReference w:id="1"/>
      </w:r>
      <w:r w:rsidR="00DB421D" w:rsidRPr="003D3234">
        <w:rPr>
          <w:rFonts w:eastAsia="Times New Roman"/>
          <w:szCs w:val="22"/>
          <w:lang w:eastAsia="ja-JP"/>
        </w:rPr>
        <w:t xml:space="preserve">. </w:t>
      </w:r>
      <w:r w:rsidR="00D10F82">
        <w:rPr>
          <w:rFonts w:eastAsia="Times New Roman"/>
          <w:szCs w:val="22"/>
          <w:lang w:eastAsia="ja-JP"/>
        </w:rPr>
        <w:t xml:space="preserve"> </w:t>
      </w:r>
      <w:r w:rsidR="002555B2" w:rsidRPr="003D3234">
        <w:t>I</w:t>
      </w:r>
      <w:r w:rsidR="008C3EA7" w:rsidRPr="003D3234">
        <w:t xml:space="preserve">t is recalled that </w:t>
      </w:r>
      <w:r w:rsidR="00672752" w:rsidRPr="003D3234">
        <w:rPr>
          <w:rFonts w:eastAsia="Times New Roman"/>
          <w:szCs w:val="22"/>
          <w:lang w:eastAsia="ja-JP"/>
        </w:rPr>
        <w:t>Rule</w:t>
      </w:r>
      <w:r w:rsidR="00D10F82">
        <w:rPr>
          <w:rFonts w:eastAsia="Times New Roman"/>
          <w:szCs w:val="22"/>
          <w:lang w:eastAsia="ja-JP"/>
        </w:rPr>
        <w:t> </w:t>
      </w:r>
      <w:r w:rsidR="00672752" w:rsidRPr="003D3234">
        <w:rPr>
          <w:rFonts w:eastAsia="Times New Roman"/>
          <w:szCs w:val="22"/>
          <w:lang w:eastAsia="ja-JP"/>
        </w:rPr>
        <w:t>18(1)(c)(</w:t>
      </w:r>
      <w:proofErr w:type="spellStart"/>
      <w:r w:rsidR="00672752" w:rsidRPr="003D3234">
        <w:rPr>
          <w:rFonts w:eastAsia="Times New Roman"/>
          <w:szCs w:val="22"/>
          <w:lang w:eastAsia="ja-JP"/>
        </w:rPr>
        <w:t>i</w:t>
      </w:r>
      <w:proofErr w:type="spellEnd"/>
      <w:r w:rsidR="00672752" w:rsidRPr="003D3234">
        <w:rPr>
          <w:rFonts w:eastAsia="Times New Roman"/>
          <w:szCs w:val="22"/>
          <w:lang w:eastAsia="ja-JP"/>
        </w:rPr>
        <w:t>)</w:t>
      </w:r>
      <w:r w:rsidR="005434CA" w:rsidRPr="003D3234">
        <w:rPr>
          <w:rFonts w:eastAsia="Times New Roman"/>
          <w:szCs w:val="22"/>
          <w:lang w:eastAsia="ja-JP"/>
        </w:rPr>
        <w:t xml:space="preserve"> reads as follows</w:t>
      </w:r>
      <w:r w:rsidR="00D10F82">
        <w:rPr>
          <w:rFonts w:eastAsia="Times New Roman"/>
          <w:szCs w:val="22"/>
          <w:lang w:eastAsia="ja-JP"/>
        </w:rPr>
        <w:t xml:space="preserve"> “</w:t>
      </w:r>
      <w:r w:rsidR="005434CA" w:rsidRPr="003D3234">
        <w:rPr>
          <w:rFonts w:eastAsia="Times New Roman"/>
          <w:szCs w:val="22"/>
          <w:lang w:eastAsia="ja-JP"/>
        </w:rPr>
        <w:t>(c)</w:t>
      </w:r>
      <w:r w:rsidR="00D10F82">
        <w:rPr>
          <w:rFonts w:eastAsia="Times New Roman"/>
          <w:szCs w:val="22"/>
          <w:lang w:eastAsia="ja-JP"/>
        </w:rPr>
        <w:t>  </w:t>
      </w:r>
      <w:r w:rsidR="005434CA" w:rsidRPr="003D3234">
        <w:rPr>
          <w:rFonts w:eastAsia="Times New Roman"/>
          <w:szCs w:val="22"/>
          <w:lang w:eastAsia="ja-JP"/>
        </w:rPr>
        <w:t>The declaration referred to in subparagraph</w:t>
      </w:r>
      <w:r w:rsidR="00D10F82">
        <w:rPr>
          <w:rFonts w:eastAsia="Times New Roman"/>
          <w:szCs w:val="22"/>
          <w:lang w:eastAsia="ja-JP"/>
        </w:rPr>
        <w:t> </w:t>
      </w:r>
      <w:r w:rsidR="005434CA" w:rsidRPr="003D3234">
        <w:rPr>
          <w:rFonts w:eastAsia="Times New Roman"/>
          <w:szCs w:val="22"/>
          <w:lang w:eastAsia="ja-JP"/>
        </w:rPr>
        <w:t>(b) may also state that the international registration shall produce the effect referred to in Article</w:t>
      </w:r>
      <w:r w:rsidR="00D10F82">
        <w:rPr>
          <w:rFonts w:eastAsia="Times New Roman"/>
          <w:szCs w:val="22"/>
          <w:lang w:eastAsia="ja-JP"/>
        </w:rPr>
        <w:t> </w:t>
      </w:r>
      <w:r w:rsidR="005434CA" w:rsidRPr="003D3234">
        <w:rPr>
          <w:rFonts w:eastAsia="Times New Roman"/>
          <w:szCs w:val="22"/>
          <w:lang w:eastAsia="ja-JP"/>
        </w:rPr>
        <w:t>14(2)(a) of the 1999</w:t>
      </w:r>
      <w:r w:rsidR="008D2834">
        <w:rPr>
          <w:rFonts w:eastAsia="Times New Roman"/>
          <w:szCs w:val="22"/>
          <w:lang w:eastAsia="ja-JP"/>
        </w:rPr>
        <w:t> </w:t>
      </w:r>
      <w:r w:rsidR="005434CA" w:rsidRPr="003D3234">
        <w:rPr>
          <w:rFonts w:eastAsia="Times New Roman"/>
          <w:szCs w:val="22"/>
          <w:lang w:eastAsia="ja-JP"/>
        </w:rPr>
        <w:t>Act at the latest (</w:t>
      </w:r>
      <w:proofErr w:type="spellStart"/>
      <w:r w:rsidR="005434CA" w:rsidRPr="003D3234">
        <w:rPr>
          <w:rFonts w:eastAsia="Times New Roman"/>
          <w:szCs w:val="22"/>
          <w:lang w:eastAsia="ja-JP"/>
        </w:rPr>
        <w:t>i</w:t>
      </w:r>
      <w:proofErr w:type="spellEnd"/>
      <w:r w:rsidR="005434CA" w:rsidRPr="003D3234">
        <w:rPr>
          <w:rFonts w:eastAsia="Times New Roman"/>
          <w:szCs w:val="22"/>
          <w:lang w:eastAsia="ja-JP"/>
        </w:rPr>
        <w:t>)</w:t>
      </w:r>
      <w:r w:rsidR="008D2834">
        <w:rPr>
          <w:rFonts w:eastAsia="Times New Roman"/>
          <w:szCs w:val="22"/>
          <w:lang w:eastAsia="ja-JP"/>
        </w:rPr>
        <w:t>  </w:t>
      </w:r>
      <w:r w:rsidR="005434CA" w:rsidRPr="003D3234">
        <w:rPr>
          <w:rFonts w:eastAsia="Times New Roman"/>
          <w:szCs w:val="22"/>
          <w:lang w:eastAsia="ja-JP"/>
        </w:rPr>
        <w:t>at a time specified in the declaration which may be later than the date referred to in that Article but which shall not be more than six months after the said date”</w:t>
      </w:r>
      <w:r w:rsidR="00DE4A66" w:rsidRPr="003D3234">
        <w:rPr>
          <w:rStyle w:val="FootnoteReference"/>
          <w:rFonts w:eastAsia="Times New Roman"/>
          <w:szCs w:val="22"/>
          <w:lang w:eastAsia="ja-JP"/>
        </w:rPr>
        <w:footnoteReference w:id="2"/>
      </w:r>
      <w:r w:rsidR="00672752" w:rsidRPr="003D3234">
        <w:rPr>
          <w:rFonts w:eastAsia="Times New Roman"/>
          <w:szCs w:val="22"/>
          <w:lang w:eastAsia="ja-JP"/>
        </w:rPr>
        <w:t xml:space="preserve">. </w:t>
      </w:r>
      <w:r w:rsidR="00DE4A66" w:rsidRPr="003D3234">
        <w:rPr>
          <w:rFonts w:eastAsia="Times New Roman"/>
          <w:szCs w:val="22"/>
          <w:lang w:eastAsia="ja-JP"/>
        </w:rPr>
        <w:t xml:space="preserve"> </w:t>
      </w:r>
      <w:r w:rsidR="006B67D2" w:rsidRPr="003D3234">
        <w:rPr>
          <w:rFonts w:eastAsia="Times New Roman"/>
          <w:szCs w:val="22"/>
          <w:lang w:eastAsia="ja-JP"/>
        </w:rPr>
        <w:t>Where Rule 18(1)(c)(</w:t>
      </w:r>
      <w:proofErr w:type="spellStart"/>
      <w:r w:rsidR="006B67D2" w:rsidRPr="003D3234">
        <w:rPr>
          <w:rFonts w:eastAsia="Times New Roman"/>
          <w:szCs w:val="22"/>
          <w:lang w:eastAsia="ja-JP"/>
        </w:rPr>
        <w:t>i</w:t>
      </w:r>
      <w:proofErr w:type="spellEnd"/>
      <w:r w:rsidR="006B67D2" w:rsidRPr="003D3234">
        <w:rPr>
          <w:rFonts w:eastAsia="Times New Roman"/>
          <w:szCs w:val="22"/>
          <w:lang w:eastAsia="ja-JP"/>
        </w:rPr>
        <w:t xml:space="preserve">) applies, </w:t>
      </w:r>
      <w:r w:rsidR="00893AF2" w:rsidRPr="003D3234">
        <w:rPr>
          <w:rFonts w:eastAsia="Times New Roman"/>
          <w:szCs w:val="22"/>
          <w:lang w:eastAsia="ja-JP"/>
        </w:rPr>
        <w:t xml:space="preserve">the Office has not found any grounds for refusal </w:t>
      </w:r>
      <w:r w:rsidR="00E936D5" w:rsidRPr="003D3234">
        <w:rPr>
          <w:rFonts w:eastAsia="Times New Roman"/>
          <w:szCs w:val="22"/>
          <w:lang w:eastAsia="ja-JP"/>
        </w:rPr>
        <w:t>and, consequently</w:t>
      </w:r>
      <w:r w:rsidR="00110FA1" w:rsidRPr="003D3234">
        <w:rPr>
          <w:rFonts w:eastAsia="Times New Roman"/>
          <w:szCs w:val="22"/>
          <w:lang w:eastAsia="ja-JP"/>
        </w:rPr>
        <w:t>,</w:t>
      </w:r>
      <w:r w:rsidR="00E936D5" w:rsidRPr="003D3234">
        <w:rPr>
          <w:rFonts w:eastAsia="Times New Roman"/>
          <w:szCs w:val="22"/>
          <w:lang w:eastAsia="ja-JP"/>
        </w:rPr>
        <w:t xml:space="preserve"> not issued any notification of refusal.</w:t>
      </w:r>
    </w:p>
    <w:p w:rsidR="008D2834" w:rsidRDefault="008D2834">
      <w:pPr>
        <w:rPr>
          <w:rFonts w:eastAsia="Times New Roman"/>
          <w:szCs w:val="22"/>
          <w:lang w:eastAsia="ja-JP"/>
        </w:rPr>
      </w:pPr>
      <w:r>
        <w:rPr>
          <w:rFonts w:eastAsia="Times New Roman"/>
          <w:szCs w:val="22"/>
          <w:lang w:eastAsia="ja-JP"/>
        </w:rPr>
        <w:br w:type="page"/>
      </w:r>
    </w:p>
    <w:p w:rsidR="00A53135" w:rsidRPr="003D3234" w:rsidRDefault="00AF5032" w:rsidP="00F12764">
      <w:pPr>
        <w:pStyle w:val="ONUME"/>
        <w:rPr>
          <w:szCs w:val="22"/>
        </w:rPr>
      </w:pPr>
      <w:r w:rsidRPr="003D3234">
        <w:rPr>
          <w:rFonts w:eastAsia="Times New Roman"/>
          <w:szCs w:val="22"/>
          <w:lang w:eastAsia="ja-JP"/>
        </w:rPr>
        <w:lastRenderedPageBreak/>
        <w:t xml:space="preserve">In addition, </w:t>
      </w:r>
      <w:r w:rsidR="00CC07FB" w:rsidRPr="003D3234">
        <w:rPr>
          <w:rFonts w:eastAsia="Times New Roman"/>
          <w:szCs w:val="22"/>
          <w:lang w:eastAsia="ja-JP"/>
        </w:rPr>
        <w:t xml:space="preserve">pursuant to </w:t>
      </w:r>
      <w:r w:rsidRPr="003D3234">
        <w:rPr>
          <w:rFonts w:eastAsia="Times New Roman"/>
          <w:szCs w:val="22"/>
          <w:lang w:eastAsia="ja-JP"/>
        </w:rPr>
        <w:t>Rule 18(1)(c)(ii)</w:t>
      </w:r>
      <w:r w:rsidR="0070789F" w:rsidRPr="003D3234">
        <w:rPr>
          <w:rFonts w:eastAsia="Times New Roman"/>
          <w:szCs w:val="22"/>
          <w:lang w:eastAsia="ja-JP"/>
        </w:rPr>
        <w:t>,</w:t>
      </w:r>
      <w:r w:rsidRPr="003D3234">
        <w:rPr>
          <w:rFonts w:eastAsia="Times New Roman"/>
          <w:szCs w:val="22"/>
          <w:lang w:eastAsia="ja-JP"/>
        </w:rPr>
        <w:t xml:space="preserve"> </w:t>
      </w:r>
      <w:r w:rsidR="00CC07FB" w:rsidRPr="003D3234">
        <w:rPr>
          <w:rFonts w:eastAsia="Times New Roman"/>
          <w:szCs w:val="22"/>
          <w:lang w:eastAsia="ja-JP"/>
        </w:rPr>
        <w:t>where</w:t>
      </w:r>
      <w:r w:rsidRPr="003D3234">
        <w:rPr>
          <w:rFonts w:eastAsia="Times New Roman"/>
          <w:szCs w:val="22"/>
          <w:lang w:eastAsia="ja-JP"/>
        </w:rPr>
        <w:t xml:space="preserve"> a decision regarding the grant of protection was unintentionally not communicated within the period applicable to communicate a refusal</w:t>
      </w:r>
      <w:r w:rsidR="0000273D" w:rsidRPr="003D3234">
        <w:rPr>
          <w:rFonts w:eastAsia="Times New Roman"/>
          <w:szCs w:val="22"/>
          <w:lang w:eastAsia="ja-JP"/>
        </w:rPr>
        <w:t>,</w:t>
      </w:r>
      <w:r w:rsidRPr="003D3234">
        <w:rPr>
          <w:rFonts w:eastAsia="Times New Roman"/>
          <w:szCs w:val="22"/>
          <w:lang w:eastAsia="ja-JP"/>
        </w:rPr>
        <w:t xml:space="preserve"> </w:t>
      </w:r>
      <w:r w:rsidR="000345C5" w:rsidRPr="003D3234">
        <w:rPr>
          <w:rFonts w:eastAsia="Times New Roman"/>
          <w:szCs w:val="22"/>
          <w:lang w:eastAsia="ja-JP"/>
        </w:rPr>
        <w:t>the Office of the Contracting Party concerned shall notify the International Bureau accordingly and endeavor to communicate such</w:t>
      </w:r>
      <w:r w:rsidR="008D2834">
        <w:rPr>
          <w:rFonts w:eastAsia="Times New Roman"/>
          <w:szCs w:val="22"/>
          <w:lang w:eastAsia="ja-JP"/>
        </w:rPr>
        <w:t xml:space="preserve"> a</w:t>
      </w:r>
      <w:r w:rsidR="000345C5" w:rsidRPr="003D3234">
        <w:rPr>
          <w:rFonts w:eastAsia="Times New Roman"/>
          <w:szCs w:val="22"/>
          <w:lang w:eastAsia="ja-JP"/>
        </w:rPr>
        <w:t xml:space="preserve"> decision to the holder of the international registration concerned promptly thereafter</w:t>
      </w:r>
      <w:r w:rsidR="00C55594" w:rsidRPr="003D3234">
        <w:rPr>
          <w:rFonts w:eastAsia="Times New Roman"/>
          <w:szCs w:val="22"/>
          <w:lang w:eastAsia="ja-JP"/>
        </w:rPr>
        <w:t xml:space="preserve">.  </w:t>
      </w:r>
      <w:r w:rsidR="00234B61" w:rsidRPr="003D3234">
        <w:rPr>
          <w:rFonts w:eastAsia="Times New Roman"/>
          <w:szCs w:val="22"/>
          <w:lang w:eastAsia="ja-JP"/>
        </w:rPr>
        <w:t>Where Rule</w:t>
      </w:r>
      <w:r w:rsidR="008D2834">
        <w:rPr>
          <w:rFonts w:eastAsia="Times New Roman"/>
          <w:szCs w:val="22"/>
          <w:lang w:eastAsia="ja-JP"/>
        </w:rPr>
        <w:t> </w:t>
      </w:r>
      <w:r w:rsidR="00234B61" w:rsidRPr="003D3234">
        <w:rPr>
          <w:rFonts w:eastAsia="Times New Roman"/>
          <w:szCs w:val="22"/>
          <w:lang w:eastAsia="ja-JP"/>
        </w:rPr>
        <w:t>18(1)(c)(ii) applies</w:t>
      </w:r>
      <w:r w:rsidR="00C55594" w:rsidRPr="003D3234">
        <w:rPr>
          <w:rFonts w:eastAsia="Times New Roman"/>
          <w:szCs w:val="22"/>
          <w:lang w:eastAsia="ja-JP"/>
        </w:rPr>
        <w:t>,</w:t>
      </w:r>
      <w:r w:rsidR="008D2834">
        <w:rPr>
          <w:szCs w:val="22"/>
        </w:rPr>
        <w:t xml:space="preserve"> </w:t>
      </w:r>
      <w:r w:rsidR="00CC07FB" w:rsidRPr="003D3234">
        <w:rPr>
          <w:rFonts w:eastAsia="Times New Roman"/>
          <w:szCs w:val="22"/>
          <w:lang w:eastAsia="ja-JP"/>
        </w:rPr>
        <w:t>new subparagraph</w:t>
      </w:r>
      <w:r w:rsidR="00FF0B24" w:rsidRPr="003D3234">
        <w:rPr>
          <w:rFonts w:eastAsia="Times New Roman"/>
          <w:szCs w:val="22"/>
          <w:lang w:eastAsia="ja-JP"/>
        </w:rPr>
        <w:t>s</w:t>
      </w:r>
      <w:r w:rsidR="008D2834">
        <w:rPr>
          <w:rFonts w:eastAsia="Times New Roman"/>
          <w:szCs w:val="22"/>
          <w:lang w:eastAsia="ja-JP"/>
        </w:rPr>
        <w:t> </w:t>
      </w:r>
      <w:r w:rsidR="00CC07FB" w:rsidRPr="003D3234">
        <w:rPr>
          <w:rFonts w:eastAsia="Times New Roman"/>
          <w:szCs w:val="22"/>
          <w:lang w:eastAsia="ja-JP"/>
        </w:rPr>
        <w:t xml:space="preserve">(d) </w:t>
      </w:r>
      <w:r w:rsidR="00FF0B24" w:rsidRPr="003D3234">
        <w:rPr>
          <w:rFonts w:eastAsia="Times New Roman"/>
          <w:szCs w:val="22"/>
          <w:lang w:eastAsia="ja-JP"/>
        </w:rPr>
        <w:t>and</w:t>
      </w:r>
      <w:r w:rsidR="008D2834">
        <w:rPr>
          <w:rFonts w:eastAsia="Times New Roman"/>
          <w:szCs w:val="22"/>
          <w:lang w:eastAsia="ja-JP"/>
        </w:rPr>
        <w:t> </w:t>
      </w:r>
      <w:r w:rsidR="00FF0B24" w:rsidRPr="003D3234">
        <w:rPr>
          <w:rFonts w:eastAsia="Times New Roman"/>
          <w:szCs w:val="22"/>
          <w:lang w:eastAsia="ja-JP"/>
        </w:rPr>
        <w:t xml:space="preserve">(e) </w:t>
      </w:r>
      <w:r w:rsidR="00CC07FB" w:rsidRPr="003D3234">
        <w:rPr>
          <w:rFonts w:eastAsia="Times New Roman"/>
          <w:szCs w:val="22"/>
          <w:lang w:eastAsia="ja-JP"/>
        </w:rPr>
        <w:t>of Rule</w:t>
      </w:r>
      <w:r w:rsidR="008D2834">
        <w:rPr>
          <w:rFonts w:eastAsia="Times New Roman"/>
          <w:szCs w:val="22"/>
          <w:lang w:eastAsia="ja-JP"/>
        </w:rPr>
        <w:t> </w:t>
      </w:r>
      <w:r w:rsidR="00CC07FB" w:rsidRPr="003D3234">
        <w:rPr>
          <w:rFonts w:eastAsia="Times New Roman"/>
          <w:szCs w:val="22"/>
          <w:lang w:eastAsia="ja-JP"/>
        </w:rPr>
        <w:t>18</w:t>
      </w:r>
      <w:r w:rsidR="00CC07FB" w:rsidRPr="003D3234">
        <w:rPr>
          <w:rFonts w:eastAsia="Times New Roman"/>
          <w:i/>
          <w:iCs/>
          <w:szCs w:val="22"/>
          <w:lang w:eastAsia="ja-JP"/>
        </w:rPr>
        <w:t>bis</w:t>
      </w:r>
      <w:r w:rsidR="00CC07FB" w:rsidRPr="003D3234">
        <w:rPr>
          <w:rFonts w:eastAsia="Times New Roman"/>
          <w:szCs w:val="22"/>
          <w:lang w:eastAsia="ja-JP"/>
        </w:rPr>
        <w:t xml:space="preserve">(1) make mandatory the communication of a statement of grant of protection </w:t>
      </w:r>
      <w:r w:rsidR="00FF0B24" w:rsidRPr="003D3234">
        <w:rPr>
          <w:rFonts w:eastAsia="Times New Roman"/>
          <w:szCs w:val="22"/>
          <w:lang w:eastAsia="ja-JP"/>
        </w:rPr>
        <w:t xml:space="preserve">indicating the date of effect as a grant of protection </w:t>
      </w:r>
      <w:r w:rsidR="009A1335" w:rsidRPr="003D3234">
        <w:rPr>
          <w:rFonts w:eastAsia="Times New Roman"/>
          <w:szCs w:val="22"/>
          <w:lang w:eastAsia="ja-JP"/>
        </w:rPr>
        <w:t xml:space="preserve">under the applicable law </w:t>
      </w:r>
      <w:r w:rsidR="00CC07FB" w:rsidRPr="003D3234">
        <w:rPr>
          <w:rFonts w:eastAsia="Times New Roman"/>
          <w:szCs w:val="22"/>
          <w:lang w:eastAsia="ja-JP"/>
        </w:rPr>
        <w:t>to the International Bureau</w:t>
      </w:r>
      <w:r w:rsidR="00FF0B24" w:rsidRPr="003D3234">
        <w:rPr>
          <w:rFonts w:eastAsia="Times New Roman"/>
          <w:szCs w:val="22"/>
          <w:lang w:eastAsia="ja-JP"/>
        </w:rPr>
        <w:t>.</w:t>
      </w:r>
    </w:p>
    <w:p w:rsidR="00EE589B" w:rsidRPr="008D2834" w:rsidRDefault="00DB421D" w:rsidP="00F12764">
      <w:pPr>
        <w:pStyle w:val="ONUME"/>
      </w:pPr>
      <w:r w:rsidRPr="003D3234">
        <w:t xml:space="preserve">The second circumstance </w:t>
      </w:r>
      <w:r w:rsidR="00EA4E5E" w:rsidRPr="003D3234">
        <w:t>caters for the possibility before the Offices of certain Contracting Parties</w:t>
      </w:r>
      <w:r w:rsidR="00EA4E5E" w:rsidRPr="00661E11">
        <w:t xml:space="preserve"> that the holder </w:t>
      </w:r>
      <w:r w:rsidRPr="00661E11">
        <w:t>initiate amendments to an industrial design.</w:t>
      </w:r>
      <w:r w:rsidR="00EA4E5E" w:rsidRPr="00661E11">
        <w:t xml:space="preserve">  Thus, where protection is granted to an</w:t>
      </w:r>
      <w:r w:rsidR="00EA4E5E" w:rsidRPr="00F12764">
        <w:t xml:space="preserve"> industrial design following amendments resulting from a procedure initiated by the holder</w:t>
      </w:r>
      <w:r w:rsidR="00BB7F37" w:rsidRPr="00F12764">
        <w:t xml:space="preserve"> without any prior refusal being issued by the Office concerned, n</w:t>
      </w:r>
      <w:r w:rsidR="00EE589B" w:rsidRPr="00F12764">
        <w:t>ew subparagraph</w:t>
      </w:r>
      <w:r w:rsidR="008D2834">
        <w:t> </w:t>
      </w:r>
      <w:r w:rsidR="00EE589B" w:rsidRPr="008D2834">
        <w:t>(d) of Rule</w:t>
      </w:r>
      <w:r w:rsidR="008D2834">
        <w:t> </w:t>
      </w:r>
      <w:r w:rsidR="00EE589B" w:rsidRPr="008D2834">
        <w:t>18</w:t>
      </w:r>
      <w:r w:rsidR="00EE589B" w:rsidRPr="00F12764">
        <w:rPr>
          <w:i/>
        </w:rPr>
        <w:t>bis</w:t>
      </w:r>
      <w:r w:rsidR="00EE589B" w:rsidRPr="008D2834">
        <w:t>(1) makes the communication of a statement of grant of protection mandatory</w:t>
      </w:r>
      <w:r w:rsidR="00BB7F37" w:rsidRPr="008D2834">
        <w:t>.</w:t>
      </w:r>
    </w:p>
    <w:p w:rsidR="0036784E" w:rsidRDefault="00DA47BD" w:rsidP="00F12764">
      <w:pPr>
        <w:pStyle w:val="Heading1"/>
        <w:spacing w:before="480"/>
      </w:pPr>
      <w:r w:rsidRPr="00415ED5">
        <w:t>PARTIAL STATEMENT OF GRANT OF PROTECTION</w:t>
      </w:r>
    </w:p>
    <w:p w:rsidR="003D3234" w:rsidRPr="003D3234" w:rsidRDefault="003D3234" w:rsidP="00D10F82"/>
    <w:p w:rsidR="002A76EF" w:rsidRPr="008D2834" w:rsidRDefault="005F598E" w:rsidP="00F12764">
      <w:pPr>
        <w:pStyle w:val="ONUME"/>
      </w:pPr>
      <w:r w:rsidRPr="003D3234">
        <w:t xml:space="preserve">It may be the case that before an Office, the examination of some designs contained in one and the same international registration </w:t>
      </w:r>
      <w:r w:rsidRPr="00661E11">
        <w:t xml:space="preserve">is performed relatively quickly whereas the examination of other designs take more time. </w:t>
      </w:r>
      <w:r w:rsidR="008D2834">
        <w:t xml:space="preserve"> </w:t>
      </w:r>
      <w:r w:rsidRPr="008D2834">
        <w:t>As it is in the holder’s and third parties’ interest that the statement of grant of protection for an industrial design be issued as quickly as possible</w:t>
      </w:r>
      <w:r w:rsidRPr="00661E11">
        <w:t xml:space="preserve">, </w:t>
      </w:r>
      <w:r w:rsidR="002168A9" w:rsidRPr="00661E11">
        <w:t>amended Rule</w:t>
      </w:r>
      <w:r w:rsidR="008D2834">
        <w:t> </w:t>
      </w:r>
      <w:r w:rsidR="002168A9" w:rsidRPr="008D2834">
        <w:t>18</w:t>
      </w:r>
      <w:r w:rsidR="002168A9" w:rsidRPr="003D3234">
        <w:rPr>
          <w:i/>
        </w:rPr>
        <w:t>bis</w:t>
      </w:r>
      <w:r w:rsidR="002168A9" w:rsidRPr="003D3234">
        <w:t xml:space="preserve">(1)(a) </w:t>
      </w:r>
      <w:r w:rsidRPr="003D3234">
        <w:t xml:space="preserve">now </w:t>
      </w:r>
      <w:r w:rsidR="007F2D6D" w:rsidRPr="003D3234">
        <w:t>provides that the Office may</w:t>
      </w:r>
      <w:r w:rsidR="00D45CEB" w:rsidRPr="003D3234">
        <w:t xml:space="preserve"> </w:t>
      </w:r>
      <w:r w:rsidR="00431024" w:rsidRPr="003D3234">
        <w:t xml:space="preserve">send a statement of grant of protection </w:t>
      </w:r>
      <w:r w:rsidR="00553BE7" w:rsidRPr="00661E11">
        <w:t>related</w:t>
      </w:r>
      <w:r w:rsidR="00431024" w:rsidRPr="00661E11">
        <w:t xml:space="preserve"> only </w:t>
      </w:r>
      <w:r w:rsidR="007F2D6D" w:rsidRPr="00661E11">
        <w:t xml:space="preserve">to </w:t>
      </w:r>
      <w:r w:rsidR="00431024" w:rsidRPr="00661E11">
        <w:t xml:space="preserve">some of the industrial designs </w:t>
      </w:r>
      <w:r w:rsidR="00B169B7" w:rsidRPr="00F12764">
        <w:t>that are the subject of the international registration</w:t>
      </w:r>
      <w:r w:rsidR="00E76973" w:rsidRPr="00F12764">
        <w:t xml:space="preserve">, </w:t>
      </w:r>
      <w:r w:rsidR="00BB7F37" w:rsidRPr="00F12764">
        <w:t>even w</w:t>
      </w:r>
      <w:r w:rsidRPr="00F12764">
        <w:t>h</w:t>
      </w:r>
      <w:r w:rsidR="00BB7F37" w:rsidRPr="00F12764">
        <w:t xml:space="preserve">ere </w:t>
      </w:r>
      <w:r w:rsidR="00E76973" w:rsidRPr="00F12764">
        <w:t xml:space="preserve">no notification of refusal </w:t>
      </w:r>
      <w:r w:rsidR="001F5496" w:rsidRPr="00F12764">
        <w:t>relat</w:t>
      </w:r>
      <w:r w:rsidR="00A56833" w:rsidRPr="00F12764">
        <w:t>ed</w:t>
      </w:r>
      <w:r w:rsidR="001F5496" w:rsidRPr="00F12764">
        <w:t xml:space="preserve"> to</w:t>
      </w:r>
      <w:r w:rsidR="00E76973" w:rsidRPr="00F12764">
        <w:t xml:space="preserve"> the same designs</w:t>
      </w:r>
      <w:r w:rsidR="00A56833" w:rsidRPr="00F12764">
        <w:t xml:space="preserve"> has </w:t>
      </w:r>
      <w:r w:rsidRPr="00F12764">
        <w:t xml:space="preserve">first </w:t>
      </w:r>
      <w:r w:rsidR="00A56833" w:rsidRPr="00F12764">
        <w:t>been communicated by the Office</w:t>
      </w:r>
      <w:r w:rsidR="00F669C4" w:rsidRPr="003D3234">
        <w:rPr>
          <w:rStyle w:val="FootnoteReference"/>
        </w:rPr>
        <w:footnoteReference w:id="3"/>
      </w:r>
      <w:r w:rsidR="00B169B7" w:rsidRPr="003D3234">
        <w:t xml:space="preserve">.  </w:t>
      </w:r>
      <w:r w:rsidR="00961DB3" w:rsidRPr="003D3234">
        <w:t xml:space="preserve">In </w:t>
      </w:r>
      <w:r w:rsidR="00506DC2" w:rsidRPr="003D3234">
        <w:t>accordance with new Rule</w:t>
      </w:r>
      <w:r w:rsidR="008D2834">
        <w:t> </w:t>
      </w:r>
      <w:r w:rsidR="00506DC2" w:rsidRPr="003D3234">
        <w:t>18</w:t>
      </w:r>
      <w:r w:rsidR="00506DC2" w:rsidRPr="00F12764">
        <w:rPr>
          <w:i/>
        </w:rPr>
        <w:t>bis</w:t>
      </w:r>
      <w:r w:rsidR="00506DC2" w:rsidRPr="003D3234">
        <w:t xml:space="preserve">(1)(b)(iii), </w:t>
      </w:r>
      <w:r w:rsidR="00913DE1" w:rsidRPr="003D3234">
        <w:t xml:space="preserve"> </w:t>
      </w:r>
      <w:r w:rsidR="00961DB3" w:rsidRPr="00661E11">
        <w:t xml:space="preserve">each </w:t>
      </w:r>
      <w:r w:rsidRPr="00661E11">
        <w:t xml:space="preserve">such </w:t>
      </w:r>
      <w:r w:rsidR="00913DE1" w:rsidRPr="00661E11">
        <w:t xml:space="preserve">statement </w:t>
      </w:r>
      <w:r w:rsidR="00506DC2" w:rsidRPr="00661E11">
        <w:t xml:space="preserve">of grant of protection </w:t>
      </w:r>
      <w:r w:rsidR="00961DB3" w:rsidRPr="00F12764">
        <w:t xml:space="preserve">communicated by the Office </w:t>
      </w:r>
      <w:r w:rsidR="00506DC2" w:rsidRPr="00F12764">
        <w:t xml:space="preserve">shall </w:t>
      </w:r>
      <w:r w:rsidR="00913DE1" w:rsidRPr="00F12764">
        <w:t>indicate those industrial designs to which it relates.</w:t>
      </w:r>
    </w:p>
    <w:p w:rsidR="00165D45" w:rsidRPr="00661E11" w:rsidRDefault="0015404E" w:rsidP="00F12764">
      <w:pPr>
        <w:pStyle w:val="ONUME"/>
      </w:pPr>
      <w:r w:rsidRPr="008D2834">
        <w:t>I</w:t>
      </w:r>
      <w:r w:rsidR="002A76EF" w:rsidRPr="008D2834">
        <w:t>t may</w:t>
      </w:r>
      <w:r w:rsidR="00150C00" w:rsidRPr="008D2834">
        <w:t xml:space="preserve"> also</w:t>
      </w:r>
      <w:r w:rsidR="002A76EF" w:rsidRPr="008D2834">
        <w:t xml:space="preserve"> </w:t>
      </w:r>
      <w:r w:rsidR="003E3D42" w:rsidRPr="008D2834">
        <w:t>be the case,</w:t>
      </w:r>
      <w:r w:rsidR="002A76EF" w:rsidRPr="008D2834">
        <w:t xml:space="preserve"> that the </w:t>
      </w:r>
      <w:r w:rsidR="006C7871" w:rsidRPr="008D2834">
        <w:t xml:space="preserve">date of effect as a grant of protection under the applicable law is different in respect of different </w:t>
      </w:r>
      <w:r w:rsidR="002A76EF" w:rsidRPr="00661E11">
        <w:t>industrial designs that are the subject of the international registration.</w:t>
      </w:r>
      <w:r w:rsidR="00425D5D" w:rsidRPr="00661E11">
        <w:t xml:space="preserve"> </w:t>
      </w:r>
      <w:r w:rsidR="008D2834">
        <w:t xml:space="preserve"> </w:t>
      </w:r>
      <w:r w:rsidR="00425D5D" w:rsidRPr="008D2834">
        <w:t>As explained</w:t>
      </w:r>
      <w:r w:rsidR="008D2834">
        <w:t xml:space="preserve"> </w:t>
      </w:r>
      <w:r w:rsidR="00681205">
        <w:t>in</w:t>
      </w:r>
      <w:r w:rsidR="00425D5D" w:rsidRPr="008D2834">
        <w:t xml:space="preserve"> </w:t>
      </w:r>
      <w:r w:rsidR="00681205">
        <w:t>paragraph 9</w:t>
      </w:r>
      <w:r w:rsidR="00425D5D" w:rsidRPr="008D2834">
        <w:t>, it is compulsory to indicate the date of effect in any statement of grant of protection</w:t>
      </w:r>
      <w:r w:rsidR="00425D5D" w:rsidRPr="00661E11">
        <w:t>.</w:t>
      </w:r>
    </w:p>
    <w:p w:rsidR="00150C00" w:rsidRDefault="00150C00" w:rsidP="00F12764">
      <w:pPr>
        <w:pStyle w:val="Heading1"/>
        <w:spacing w:before="480"/>
      </w:pPr>
      <w:r>
        <w:t>ENTRY INTO EFFECT</w:t>
      </w:r>
    </w:p>
    <w:p w:rsidR="003D3234" w:rsidRPr="003D3234" w:rsidRDefault="003D3234" w:rsidP="00D10F82"/>
    <w:p w:rsidR="001B2FBB" w:rsidRDefault="00B03421" w:rsidP="001B2FBB">
      <w:pPr>
        <w:pStyle w:val="ONUME"/>
        <w:numPr>
          <w:ilvl w:val="0"/>
          <w:numId w:val="0"/>
        </w:numPr>
      </w:pPr>
      <w:r w:rsidRPr="003D3234">
        <w:t>All the aforementioned amendments will come into effect on January</w:t>
      </w:r>
      <w:r w:rsidR="00F614C9">
        <w:t> </w:t>
      </w:r>
      <w:r w:rsidRPr="003D3234">
        <w:t>1,</w:t>
      </w:r>
      <w:r w:rsidR="00F614C9">
        <w:t> </w:t>
      </w:r>
      <w:r w:rsidRPr="003D3234">
        <w:t>2015, on which date the International Bureau will stand ready to process statements of grant of protection and notifications of withdrawal of refusal presented i</w:t>
      </w:r>
      <w:r w:rsidRPr="00F614C9">
        <w:t>n accordance with amended Rules</w:t>
      </w:r>
      <w:r w:rsidR="00F614C9">
        <w:t> </w:t>
      </w:r>
      <w:r w:rsidRPr="00F614C9">
        <w:t>18(4) and</w:t>
      </w:r>
      <w:r w:rsidR="00F614C9">
        <w:t> </w:t>
      </w:r>
      <w:r w:rsidRPr="00F614C9">
        <w:t>18</w:t>
      </w:r>
      <w:r w:rsidRPr="001B2FBB">
        <w:rPr>
          <w:i/>
        </w:rPr>
        <w:t>bis</w:t>
      </w:r>
      <w:r w:rsidRPr="00F614C9">
        <w:t>(1) and</w:t>
      </w:r>
      <w:r w:rsidR="00F614C9">
        <w:t> </w:t>
      </w:r>
      <w:r w:rsidRPr="00F614C9">
        <w:t xml:space="preserve">(2). </w:t>
      </w:r>
      <w:r w:rsidR="00F614C9">
        <w:t xml:space="preserve"> </w:t>
      </w:r>
      <w:r w:rsidRPr="00F614C9">
        <w:t>However, no Office of a Contracting Party is obliged to apply the said Rules to international registrations published before January</w:t>
      </w:r>
      <w:r w:rsidR="00F614C9">
        <w:t> </w:t>
      </w:r>
      <w:r w:rsidRPr="00F614C9">
        <w:t>1,</w:t>
      </w:r>
      <w:r w:rsidR="00F614C9">
        <w:t> </w:t>
      </w:r>
      <w:r w:rsidRPr="00F614C9">
        <w:t>2015.</w:t>
      </w:r>
    </w:p>
    <w:p w:rsidR="001B2FBB" w:rsidRDefault="001B2FBB" w:rsidP="001B2FBB">
      <w:pPr>
        <w:rPr>
          <w:lang w:eastAsia="ja-JP"/>
        </w:rPr>
      </w:pPr>
    </w:p>
    <w:p w:rsidR="002168A9" w:rsidRDefault="00943207" w:rsidP="002168A9">
      <w:pPr>
        <w:pStyle w:val="ONUME"/>
        <w:numPr>
          <w:ilvl w:val="0"/>
          <w:numId w:val="0"/>
        </w:numPr>
        <w:ind w:left="5529"/>
        <w:rPr>
          <w:lang w:eastAsia="ja-JP"/>
        </w:rPr>
      </w:pPr>
      <w:r>
        <w:rPr>
          <w:lang w:eastAsia="ja-JP"/>
        </w:rPr>
        <w:t xml:space="preserve">December </w:t>
      </w:r>
      <w:r w:rsidR="00D91034">
        <w:rPr>
          <w:lang w:eastAsia="ja-JP"/>
        </w:rPr>
        <w:t>4</w:t>
      </w:r>
      <w:r w:rsidR="002168A9">
        <w:rPr>
          <w:lang w:eastAsia="ja-JP"/>
        </w:rPr>
        <w:t>, 201</w:t>
      </w:r>
      <w:r w:rsidR="00036611">
        <w:rPr>
          <w:lang w:eastAsia="ja-JP"/>
        </w:rPr>
        <w:t>4</w:t>
      </w:r>
    </w:p>
    <w:p w:rsidR="002168A9" w:rsidRDefault="002168A9" w:rsidP="002168A9"/>
    <w:p w:rsidR="002168A9" w:rsidRDefault="002168A9" w:rsidP="002168A9">
      <w:pPr>
        <w:sectPr w:rsidR="002168A9" w:rsidSect="00A953E1">
          <w:headerReference w:type="default" r:id="rId10"/>
          <w:pgSz w:w="11907" w:h="16840" w:code="9"/>
          <w:pgMar w:top="567" w:right="1134" w:bottom="1418" w:left="1418" w:header="510" w:footer="1021" w:gutter="0"/>
          <w:cols w:space="720"/>
          <w:titlePg/>
        </w:sectPr>
      </w:pPr>
    </w:p>
    <w:p w:rsidR="002168A9" w:rsidRPr="0090411E" w:rsidRDefault="002168A9" w:rsidP="002168A9">
      <w:pPr>
        <w:spacing w:line="260" w:lineRule="exact"/>
        <w:jc w:val="center"/>
        <w:outlineLvl w:val="0"/>
        <w:rPr>
          <w:b/>
        </w:rPr>
      </w:pPr>
      <w:r w:rsidRPr="0090411E">
        <w:rPr>
          <w:b/>
        </w:rPr>
        <w:lastRenderedPageBreak/>
        <w:t>Common Regulations</w:t>
      </w:r>
    </w:p>
    <w:p w:rsidR="002168A9" w:rsidRPr="0090411E" w:rsidRDefault="002168A9" w:rsidP="002168A9">
      <w:pPr>
        <w:spacing w:line="260" w:lineRule="exact"/>
        <w:jc w:val="center"/>
        <w:rPr>
          <w:b/>
        </w:rPr>
      </w:pPr>
      <w:r w:rsidRPr="0090411E">
        <w:rPr>
          <w:b/>
        </w:rPr>
        <w:t>Under the 1999</w:t>
      </w:r>
      <w:r>
        <w:rPr>
          <w:b/>
        </w:rPr>
        <w:t> </w:t>
      </w:r>
      <w:r w:rsidRPr="0090411E">
        <w:rPr>
          <w:b/>
        </w:rPr>
        <w:t>Act and the 1960</w:t>
      </w:r>
      <w:r>
        <w:rPr>
          <w:b/>
        </w:rPr>
        <w:t> </w:t>
      </w:r>
      <w:r w:rsidRPr="0090411E">
        <w:rPr>
          <w:b/>
        </w:rPr>
        <w:t>Act</w:t>
      </w:r>
    </w:p>
    <w:p w:rsidR="002168A9" w:rsidRPr="0090411E" w:rsidRDefault="002168A9" w:rsidP="002168A9">
      <w:pPr>
        <w:spacing w:line="260" w:lineRule="exact"/>
        <w:jc w:val="center"/>
        <w:rPr>
          <w:b/>
        </w:rPr>
      </w:pPr>
      <w:r w:rsidRPr="0090411E">
        <w:rPr>
          <w:b/>
        </w:rPr>
        <w:t>of the Hague Agreement</w:t>
      </w:r>
    </w:p>
    <w:p w:rsidR="002168A9" w:rsidRPr="0090411E" w:rsidRDefault="002168A9" w:rsidP="002168A9">
      <w:pPr>
        <w:spacing w:line="260" w:lineRule="exact"/>
      </w:pPr>
    </w:p>
    <w:p w:rsidR="002168A9" w:rsidRPr="0090411E" w:rsidRDefault="002168A9" w:rsidP="002168A9">
      <w:pPr>
        <w:spacing w:line="260" w:lineRule="exact"/>
        <w:jc w:val="center"/>
      </w:pPr>
      <w:r w:rsidRPr="0090411E">
        <w:t xml:space="preserve">(as in force on </w:t>
      </w:r>
      <w:r>
        <w:t>January 1, 2015</w:t>
      </w:r>
      <w:r w:rsidRPr="0090411E">
        <w:t>)</w:t>
      </w:r>
    </w:p>
    <w:p w:rsidR="002168A9" w:rsidRPr="0090411E" w:rsidRDefault="002168A9" w:rsidP="002168A9">
      <w:pPr>
        <w:spacing w:line="260" w:lineRule="exact"/>
      </w:pPr>
    </w:p>
    <w:p w:rsidR="002168A9" w:rsidRPr="0090411E" w:rsidRDefault="002168A9" w:rsidP="002168A9">
      <w:pPr>
        <w:spacing w:line="260" w:lineRule="exact"/>
      </w:pPr>
    </w:p>
    <w:p w:rsidR="002168A9" w:rsidRPr="00757562" w:rsidRDefault="002168A9" w:rsidP="002168A9">
      <w:pPr>
        <w:jc w:val="center"/>
        <w:rPr>
          <w:i/>
          <w:lang w:val="en-GB"/>
        </w:rPr>
      </w:pPr>
      <w:r w:rsidRPr="00757562">
        <w:rPr>
          <w:i/>
          <w:lang w:val="en-GB"/>
        </w:rPr>
        <w:t>Rule 18</w:t>
      </w:r>
    </w:p>
    <w:p w:rsidR="002168A9" w:rsidRPr="00757562" w:rsidRDefault="002168A9" w:rsidP="002168A9">
      <w:pPr>
        <w:jc w:val="center"/>
        <w:rPr>
          <w:i/>
          <w:lang w:val="en-GB"/>
        </w:rPr>
      </w:pPr>
      <w:r w:rsidRPr="00757562">
        <w:rPr>
          <w:i/>
          <w:lang w:val="en-GB"/>
        </w:rPr>
        <w:t>Notification of Refusal</w:t>
      </w:r>
    </w:p>
    <w:p w:rsidR="002168A9" w:rsidRPr="00757562" w:rsidRDefault="002168A9" w:rsidP="002168A9">
      <w:pPr>
        <w:rPr>
          <w:lang w:val="en-GB"/>
        </w:rPr>
      </w:pPr>
    </w:p>
    <w:p w:rsidR="002168A9" w:rsidRPr="00757562" w:rsidRDefault="002168A9" w:rsidP="002168A9">
      <w:pPr>
        <w:rPr>
          <w:lang w:val="en-GB"/>
        </w:rPr>
      </w:pPr>
      <w:r w:rsidRPr="00757562">
        <w:t>[…]</w:t>
      </w:r>
    </w:p>
    <w:p w:rsidR="002168A9" w:rsidRPr="00757562" w:rsidRDefault="002168A9" w:rsidP="002168A9">
      <w:pPr>
        <w:rPr>
          <w:lang w:val="en-GB"/>
        </w:rPr>
      </w:pPr>
    </w:p>
    <w:p w:rsidR="002168A9" w:rsidRPr="00757562" w:rsidRDefault="002168A9" w:rsidP="002168A9">
      <w:pPr>
        <w:ind w:firstLine="567"/>
      </w:pPr>
      <w:r w:rsidRPr="00757562">
        <w:t>(4)</w:t>
      </w:r>
      <w:r w:rsidRPr="00757562">
        <w:tab/>
        <w:t>[</w:t>
      </w:r>
      <w:r w:rsidRPr="00757562">
        <w:rPr>
          <w:i/>
        </w:rPr>
        <w:t>Notification of Withdrawal of Refusal</w:t>
      </w:r>
      <w:r w:rsidRPr="00757562">
        <w:t>]  (a)  The notification of any withdrawal of refusal shall relate to one international registration, shall be dated and shall be signed by the Office making the notification.</w:t>
      </w:r>
    </w:p>
    <w:p w:rsidR="002168A9" w:rsidRPr="00757562" w:rsidRDefault="002168A9" w:rsidP="002168A9">
      <w:pPr>
        <w:ind w:firstLine="1134"/>
      </w:pPr>
      <w:r w:rsidRPr="00757562">
        <w:t>(b)</w:t>
      </w:r>
      <w:r w:rsidRPr="00757562">
        <w:tab/>
        <w:t>The notification shall contain or indicate</w:t>
      </w:r>
    </w:p>
    <w:p w:rsidR="002168A9" w:rsidRPr="00757562" w:rsidRDefault="002168A9" w:rsidP="002168A9">
      <w:pPr>
        <w:ind w:firstLine="1701"/>
      </w:pPr>
      <w:r>
        <w:t>(</w:t>
      </w:r>
      <w:proofErr w:type="spellStart"/>
      <w:r>
        <w:t>i</w:t>
      </w:r>
      <w:proofErr w:type="spellEnd"/>
      <w:r>
        <w:t>)</w:t>
      </w:r>
      <w:r>
        <w:tab/>
      </w:r>
      <w:r w:rsidRPr="00757562">
        <w:t>the Office making the notification,</w:t>
      </w:r>
    </w:p>
    <w:p w:rsidR="002168A9" w:rsidRPr="00757562" w:rsidRDefault="002168A9" w:rsidP="002168A9">
      <w:pPr>
        <w:ind w:firstLine="1701"/>
      </w:pPr>
      <w:r>
        <w:t>(ii)</w:t>
      </w:r>
      <w:r>
        <w:tab/>
      </w:r>
      <w:r w:rsidRPr="00757562">
        <w:t>the number of the international registration,</w:t>
      </w:r>
    </w:p>
    <w:p w:rsidR="002168A9" w:rsidRPr="00757562" w:rsidRDefault="002168A9" w:rsidP="002168A9">
      <w:pPr>
        <w:ind w:firstLine="1701"/>
      </w:pPr>
      <w:r>
        <w:t>(iii)</w:t>
      </w:r>
      <w:r>
        <w:tab/>
      </w:r>
      <w:r w:rsidRPr="00757562">
        <w:t>where the withdrawal does not relate to all the industrial designs to which the refusal applied, those to which it relates or does not relate,</w:t>
      </w:r>
    </w:p>
    <w:p w:rsidR="002168A9" w:rsidRPr="00757562" w:rsidRDefault="002168A9" w:rsidP="002168A9">
      <w:pPr>
        <w:ind w:firstLine="1701"/>
      </w:pPr>
      <w:r>
        <w:t>(iv)</w:t>
      </w:r>
      <w:r>
        <w:tab/>
      </w:r>
      <w:r w:rsidRPr="00757562">
        <w:t>the date on which the international registration produced the effect as a grant of protection under the applicable law, and</w:t>
      </w:r>
    </w:p>
    <w:p w:rsidR="002168A9" w:rsidRPr="00757562" w:rsidRDefault="002168A9" w:rsidP="002168A9">
      <w:pPr>
        <w:ind w:firstLine="1701"/>
      </w:pPr>
      <w:r>
        <w:t>(v)</w:t>
      </w:r>
      <w:r>
        <w:tab/>
      </w:r>
      <w:r w:rsidRPr="00757562">
        <w:t>the date on which the refusal was withdrawn.</w:t>
      </w:r>
    </w:p>
    <w:p w:rsidR="002168A9" w:rsidRPr="0088796B" w:rsidRDefault="002168A9" w:rsidP="002168A9">
      <w:pPr>
        <w:ind w:firstLine="1134"/>
      </w:pPr>
      <w:r w:rsidRPr="0088796B">
        <w:t>(c)</w:t>
      </w:r>
      <w:r w:rsidRPr="0088796B">
        <w:tab/>
      </w:r>
      <w:r w:rsidRPr="00757562">
        <w:t>Where the international registration was amended in a procedure before the Office, t</w:t>
      </w:r>
      <w:r w:rsidRPr="0088796B">
        <w:t>he notification shall</w:t>
      </w:r>
      <w:r w:rsidRPr="00757562">
        <w:t xml:space="preserve"> also</w:t>
      </w:r>
      <w:r w:rsidRPr="0088796B">
        <w:t xml:space="preserve"> contain or indicate</w:t>
      </w:r>
      <w:r w:rsidRPr="00757562">
        <w:t xml:space="preserve"> all amendments.</w:t>
      </w:r>
    </w:p>
    <w:p w:rsidR="002168A9" w:rsidRPr="00757562" w:rsidRDefault="002168A9" w:rsidP="002168A9">
      <w:pPr>
        <w:rPr>
          <w:i/>
        </w:rPr>
      </w:pPr>
    </w:p>
    <w:p w:rsidR="002168A9" w:rsidRPr="0088796B" w:rsidRDefault="002168A9" w:rsidP="002168A9">
      <w:pPr>
        <w:ind w:firstLine="567"/>
        <w:rPr>
          <w:lang w:val="en-GB"/>
        </w:rPr>
      </w:pPr>
      <w:r w:rsidRPr="0088796B">
        <w:t>[…]</w:t>
      </w:r>
    </w:p>
    <w:p w:rsidR="002168A9" w:rsidRPr="00757562" w:rsidRDefault="002168A9" w:rsidP="002168A9">
      <w:pPr>
        <w:rPr>
          <w:lang w:val="en-GB"/>
        </w:rPr>
      </w:pPr>
    </w:p>
    <w:p w:rsidR="002168A9" w:rsidRPr="00757562" w:rsidRDefault="002168A9" w:rsidP="002168A9">
      <w:pPr>
        <w:rPr>
          <w:lang w:val="en-GB"/>
        </w:rPr>
      </w:pPr>
    </w:p>
    <w:p w:rsidR="002168A9" w:rsidRPr="0088796B" w:rsidRDefault="002168A9" w:rsidP="002168A9">
      <w:pPr>
        <w:jc w:val="center"/>
        <w:rPr>
          <w:i/>
          <w:lang w:val="en-GB"/>
        </w:rPr>
      </w:pPr>
      <w:r w:rsidRPr="0088796B">
        <w:rPr>
          <w:i/>
          <w:lang w:val="en-GB"/>
        </w:rPr>
        <w:t>Rule 18bis</w:t>
      </w:r>
    </w:p>
    <w:p w:rsidR="002168A9" w:rsidRPr="0088796B" w:rsidRDefault="002168A9" w:rsidP="002168A9">
      <w:pPr>
        <w:jc w:val="center"/>
        <w:rPr>
          <w:i/>
          <w:lang w:val="en-GB"/>
        </w:rPr>
      </w:pPr>
      <w:r w:rsidRPr="0088796B">
        <w:rPr>
          <w:i/>
          <w:lang w:val="en-GB"/>
        </w:rPr>
        <w:t>Statement of Grant of Protection</w:t>
      </w:r>
    </w:p>
    <w:p w:rsidR="002168A9" w:rsidRPr="00757562" w:rsidRDefault="002168A9" w:rsidP="002168A9">
      <w:pPr>
        <w:rPr>
          <w:lang w:val="en-GB"/>
        </w:rPr>
      </w:pPr>
    </w:p>
    <w:p w:rsidR="002168A9" w:rsidRPr="00757562" w:rsidRDefault="002168A9" w:rsidP="002168A9">
      <w:pPr>
        <w:ind w:firstLine="567"/>
      </w:pPr>
      <w:r w:rsidRPr="004927AD">
        <w:rPr>
          <w:rStyle w:val="Emphasis"/>
          <w:szCs w:val="22"/>
        </w:rPr>
        <w:t>(1)</w:t>
      </w:r>
      <w:r w:rsidRPr="004927AD">
        <w:rPr>
          <w:rStyle w:val="Emphasis"/>
          <w:szCs w:val="22"/>
        </w:rPr>
        <w:tab/>
      </w:r>
      <w:r w:rsidRPr="00892011">
        <w:rPr>
          <w:rStyle w:val="Emphasis"/>
          <w:i w:val="0"/>
          <w:szCs w:val="22"/>
        </w:rPr>
        <w:t>[</w:t>
      </w:r>
      <w:r w:rsidRPr="00757562">
        <w:rPr>
          <w:rStyle w:val="Emphasis"/>
          <w:szCs w:val="22"/>
        </w:rPr>
        <w:t>Statement of Grant of Protection Where No Notification of Refusal Has Been Communicated</w:t>
      </w:r>
      <w:r w:rsidRPr="00892011">
        <w:rPr>
          <w:rStyle w:val="Emphasis"/>
          <w:i w:val="0"/>
          <w:szCs w:val="22"/>
        </w:rPr>
        <w:t>]</w:t>
      </w:r>
      <w:r>
        <w:t>  (</w:t>
      </w:r>
      <w:r w:rsidRPr="00757562">
        <w:t>a)  An Office which has not communicated a notification of refusal may, within the period applicable under Rule 18(1)(a) or (b), send to the International Bureau a statement to the effect that protection is granted to the industrial designs, or some of the industrial designs, as the case may be, that are the subject of the international registration in the Contracting Party concerned, it being understood that, where Rule 12(3) applies, the grant of protection will be subject to the payment of the second part of the individual designation fee.</w:t>
      </w:r>
    </w:p>
    <w:p w:rsidR="002168A9" w:rsidRDefault="002168A9" w:rsidP="002168A9">
      <w:pPr>
        <w:ind w:firstLine="1134"/>
      </w:pPr>
      <w:r w:rsidRPr="00757562">
        <w:t>(b)</w:t>
      </w:r>
      <w:r w:rsidRPr="00757562">
        <w:tab/>
        <w:t>The statement shall indicate</w:t>
      </w:r>
    </w:p>
    <w:p w:rsidR="002168A9" w:rsidRDefault="002168A9" w:rsidP="002168A9">
      <w:pPr>
        <w:ind w:firstLine="1701"/>
      </w:pPr>
      <w:r w:rsidRPr="00757562">
        <w:t>(</w:t>
      </w:r>
      <w:proofErr w:type="spellStart"/>
      <w:r w:rsidRPr="00757562">
        <w:t>i</w:t>
      </w:r>
      <w:proofErr w:type="spellEnd"/>
      <w:r w:rsidRPr="00757562">
        <w:t>)</w:t>
      </w:r>
      <w:r>
        <w:tab/>
      </w:r>
      <w:r w:rsidRPr="00757562">
        <w:t>the Office making the statement,</w:t>
      </w:r>
    </w:p>
    <w:p w:rsidR="002168A9" w:rsidRPr="00757562" w:rsidRDefault="002168A9" w:rsidP="002168A9">
      <w:pPr>
        <w:ind w:firstLine="1701"/>
      </w:pPr>
      <w:r w:rsidRPr="00757562">
        <w:t>(ii)</w:t>
      </w:r>
      <w:r>
        <w:tab/>
      </w:r>
      <w:r w:rsidRPr="00757562">
        <w:t xml:space="preserve">the number of </w:t>
      </w:r>
      <w:r w:rsidR="00892011">
        <w:t>the international registration,</w:t>
      </w:r>
    </w:p>
    <w:p w:rsidR="002168A9" w:rsidRDefault="002168A9" w:rsidP="002168A9">
      <w:pPr>
        <w:ind w:firstLine="1701"/>
      </w:pPr>
      <w:r w:rsidRPr="00757562">
        <w:t>(iii)</w:t>
      </w:r>
      <w:r>
        <w:tab/>
      </w:r>
      <w:r w:rsidRPr="00757562">
        <w:t>where the statement does not relate to all the industrial designs that are the subject of the international registration, those to which it relates,</w:t>
      </w:r>
    </w:p>
    <w:p w:rsidR="002168A9" w:rsidRDefault="002168A9" w:rsidP="002168A9">
      <w:pPr>
        <w:ind w:firstLine="1701"/>
      </w:pPr>
      <w:r w:rsidRPr="00757562">
        <w:t>(iv)</w:t>
      </w:r>
      <w:r>
        <w:tab/>
      </w:r>
      <w:r w:rsidRPr="00757562">
        <w:t>the date on which the international registration produced or shall produce the effect as a grant of protection under the applicable law, and</w:t>
      </w:r>
    </w:p>
    <w:p w:rsidR="002168A9" w:rsidRDefault="002168A9" w:rsidP="002168A9">
      <w:pPr>
        <w:ind w:firstLine="1701"/>
      </w:pPr>
      <w:r w:rsidRPr="00757562">
        <w:t>(v)</w:t>
      </w:r>
      <w:r>
        <w:tab/>
      </w:r>
      <w:r w:rsidRPr="00757562">
        <w:t>the date of the statement.</w:t>
      </w:r>
    </w:p>
    <w:p w:rsidR="002168A9" w:rsidRDefault="002168A9" w:rsidP="002168A9">
      <w:pPr>
        <w:ind w:firstLine="1134"/>
      </w:pPr>
      <w:r w:rsidRPr="0088796B">
        <w:t>(c)</w:t>
      </w:r>
      <w:r w:rsidRPr="0088796B">
        <w:tab/>
      </w:r>
      <w:r w:rsidRPr="00757562">
        <w:t>Where the international registration was amended in a procedure</w:t>
      </w:r>
      <w:r>
        <w:t xml:space="preserve"> before</w:t>
      </w:r>
      <w:r w:rsidRPr="00907724">
        <w:t xml:space="preserve"> the Office</w:t>
      </w:r>
      <w:r w:rsidRPr="00757562">
        <w:t>, t</w:t>
      </w:r>
      <w:r w:rsidRPr="0088796B">
        <w:t xml:space="preserve">he </w:t>
      </w:r>
      <w:r w:rsidRPr="00757562">
        <w:t>statement</w:t>
      </w:r>
      <w:r w:rsidRPr="0088796B">
        <w:t xml:space="preserve"> shall</w:t>
      </w:r>
      <w:r w:rsidRPr="00757562">
        <w:t xml:space="preserve"> also</w:t>
      </w:r>
      <w:r w:rsidRPr="0088796B">
        <w:t xml:space="preserve"> contain or indicate</w:t>
      </w:r>
      <w:r w:rsidRPr="00757562">
        <w:t xml:space="preserve"> all amendments.</w:t>
      </w:r>
    </w:p>
    <w:p w:rsidR="002168A9" w:rsidRPr="00757562" w:rsidRDefault="002168A9" w:rsidP="002168A9">
      <w:pPr>
        <w:ind w:firstLine="1134"/>
      </w:pPr>
      <w:r w:rsidRPr="00757562">
        <w:t>(d)</w:t>
      </w:r>
      <w:r>
        <w:tab/>
      </w:r>
      <w:r w:rsidRPr="00757562">
        <w:t>Notwithstanding subparagraph</w:t>
      </w:r>
      <w:r>
        <w:t> </w:t>
      </w:r>
      <w:r w:rsidRPr="00757562">
        <w:t>(a), where Rule</w:t>
      </w:r>
      <w:r>
        <w:t> </w:t>
      </w:r>
      <w:r w:rsidRPr="00757562">
        <w:t>18(1)(c)(</w:t>
      </w:r>
      <w:proofErr w:type="spellStart"/>
      <w:r w:rsidRPr="00757562">
        <w:t>i</w:t>
      </w:r>
      <w:proofErr w:type="spellEnd"/>
      <w:r w:rsidRPr="00757562">
        <w:t>) or</w:t>
      </w:r>
      <w:r>
        <w:t> </w:t>
      </w:r>
      <w:r w:rsidRPr="00757562">
        <w:t>(ii) applies, as the case may be, or where protection is granted to the industrial designs following amendments in a procedure before the Office, the said Office must send to the International Bureau the statement referred to in subparagraph</w:t>
      </w:r>
      <w:r>
        <w:t> </w:t>
      </w:r>
      <w:r w:rsidRPr="00757562">
        <w:t>(a).</w:t>
      </w:r>
    </w:p>
    <w:p w:rsidR="002168A9" w:rsidRPr="00757562" w:rsidRDefault="002168A9" w:rsidP="002168A9">
      <w:pPr>
        <w:ind w:firstLine="1134"/>
      </w:pPr>
      <w:r w:rsidRPr="00757562">
        <w:lastRenderedPageBreak/>
        <w:t>(e)</w:t>
      </w:r>
      <w:r w:rsidRPr="00757562">
        <w:tab/>
        <w:t>The applicable period referred to in subparagraph</w:t>
      </w:r>
      <w:r>
        <w:t> </w:t>
      </w:r>
      <w:r w:rsidRPr="00757562">
        <w:t>(a) shall be the period allowed pursuant to Rule</w:t>
      </w:r>
      <w:r>
        <w:t> </w:t>
      </w:r>
      <w:r w:rsidRPr="00757562">
        <w:t>18(1)(c)(</w:t>
      </w:r>
      <w:proofErr w:type="spellStart"/>
      <w:r w:rsidRPr="00757562">
        <w:t>i</w:t>
      </w:r>
      <w:proofErr w:type="spellEnd"/>
      <w:r w:rsidRPr="00757562">
        <w:t>) or</w:t>
      </w:r>
      <w:r>
        <w:t> </w:t>
      </w:r>
      <w:r w:rsidRPr="00757562">
        <w:t>(ii), as the case may be,</w:t>
      </w:r>
      <w:r w:rsidRPr="00726E2D">
        <w:t xml:space="preserve"> to produce the effect as a grant of protection under the applicable law, with respect to a de</w:t>
      </w:r>
      <w:r w:rsidRPr="00757562">
        <w:t>signation of</w:t>
      </w:r>
      <w:r w:rsidR="00892011">
        <w:t xml:space="preserve"> a</w:t>
      </w:r>
      <w:r w:rsidRPr="00757562">
        <w:t xml:space="preserve"> Contracting Party having made a declaration under either of the aforementioned </w:t>
      </w:r>
      <w:r>
        <w:t>R</w:t>
      </w:r>
      <w:r w:rsidRPr="00757562">
        <w:t>ules.</w:t>
      </w:r>
    </w:p>
    <w:p w:rsidR="002168A9" w:rsidRPr="00757562" w:rsidRDefault="002168A9" w:rsidP="002168A9"/>
    <w:p w:rsidR="002168A9" w:rsidRPr="00757562" w:rsidRDefault="002168A9" w:rsidP="002168A9">
      <w:pPr>
        <w:ind w:firstLine="567"/>
      </w:pPr>
      <w:r w:rsidRPr="00757562">
        <w:t>(2)</w:t>
      </w:r>
      <w:r w:rsidRPr="00757562">
        <w:tab/>
        <w:t>[</w:t>
      </w:r>
      <w:r w:rsidRPr="00757562">
        <w:rPr>
          <w:i/>
        </w:rPr>
        <w:t>Statement of Grant of Protection Following a Refusal</w:t>
      </w:r>
      <w:r w:rsidRPr="00757562">
        <w:t>]  </w:t>
      </w:r>
      <w:r w:rsidRPr="00757562">
        <w:rPr>
          <w:rFonts w:eastAsia="MS Mincho"/>
        </w:rPr>
        <w:t>(a)  </w:t>
      </w:r>
      <w:r w:rsidRPr="00757562">
        <w:t>An Office which has communicated a notification of refusal and which has decided to either partially or totally withdraw such refusal, may, instead of notifying a withdrawal of refusal in accordance with Rule 18(4)(a), send to the International Bureau a statement to the effect that protection is granted to the industrial designs, or some of the industrial designs, as the case may be, that are the subject of the international registration in the Contracting Party concerned, it being understood that, where Rule 12(3) applies, the grant of protection will be subject to the payment of the second part of the individual designation fee.</w:t>
      </w:r>
    </w:p>
    <w:p w:rsidR="002168A9" w:rsidRPr="00757562" w:rsidRDefault="002168A9" w:rsidP="002168A9">
      <w:pPr>
        <w:ind w:firstLine="1134"/>
      </w:pPr>
      <w:r w:rsidRPr="00757562">
        <w:t>(b)</w:t>
      </w:r>
      <w:r w:rsidRPr="00757562">
        <w:tab/>
        <w:t>The statement shall indicate</w:t>
      </w:r>
    </w:p>
    <w:p w:rsidR="002168A9" w:rsidRPr="00757562" w:rsidRDefault="002168A9" w:rsidP="002168A9">
      <w:pPr>
        <w:ind w:firstLine="1701"/>
      </w:pPr>
      <w:r>
        <w:t>(</w:t>
      </w:r>
      <w:proofErr w:type="spellStart"/>
      <w:r>
        <w:t>i</w:t>
      </w:r>
      <w:proofErr w:type="spellEnd"/>
      <w:r>
        <w:t>)</w:t>
      </w:r>
      <w:r>
        <w:tab/>
      </w:r>
      <w:proofErr w:type="gramStart"/>
      <w:r w:rsidRPr="00757562">
        <w:t>the</w:t>
      </w:r>
      <w:proofErr w:type="gramEnd"/>
      <w:r w:rsidRPr="00757562">
        <w:t xml:space="preserve"> Office making the notification,</w:t>
      </w:r>
    </w:p>
    <w:p w:rsidR="002168A9" w:rsidRPr="00757562" w:rsidRDefault="002168A9" w:rsidP="002168A9">
      <w:pPr>
        <w:ind w:firstLine="1701"/>
      </w:pPr>
      <w:r>
        <w:t>(ii)</w:t>
      </w:r>
      <w:r>
        <w:tab/>
      </w:r>
      <w:proofErr w:type="gramStart"/>
      <w:r w:rsidRPr="00757562">
        <w:t>the</w:t>
      </w:r>
      <w:proofErr w:type="gramEnd"/>
      <w:r w:rsidRPr="00757562">
        <w:t xml:space="preserve"> number of the international registration,</w:t>
      </w:r>
    </w:p>
    <w:p w:rsidR="002168A9" w:rsidRPr="00757562" w:rsidRDefault="002168A9" w:rsidP="002168A9">
      <w:pPr>
        <w:ind w:firstLine="1701"/>
      </w:pPr>
      <w:r>
        <w:t>(iii)</w:t>
      </w:r>
      <w:r>
        <w:tab/>
      </w:r>
      <w:proofErr w:type="gramStart"/>
      <w:r w:rsidRPr="00757562">
        <w:t>where</w:t>
      </w:r>
      <w:proofErr w:type="gramEnd"/>
      <w:r w:rsidRPr="00757562">
        <w:t xml:space="preserve"> the statement does not relate to all the industrial designs that are the subject of the international registration, those to which it relates or does not relate,</w:t>
      </w:r>
    </w:p>
    <w:p w:rsidR="002168A9" w:rsidRPr="00757562" w:rsidRDefault="002168A9" w:rsidP="002168A9">
      <w:pPr>
        <w:ind w:firstLine="1701"/>
      </w:pPr>
      <w:r>
        <w:t>(iv)</w:t>
      </w:r>
      <w:r>
        <w:tab/>
      </w:r>
      <w:proofErr w:type="gramStart"/>
      <w:r w:rsidRPr="00757562">
        <w:t>the</w:t>
      </w:r>
      <w:proofErr w:type="gramEnd"/>
      <w:r w:rsidRPr="00757562">
        <w:t xml:space="preserve"> date on which the international registration produced the effect as a grant of protection under the applicable law, and</w:t>
      </w:r>
    </w:p>
    <w:p w:rsidR="002168A9" w:rsidRPr="00757562" w:rsidRDefault="002168A9" w:rsidP="002168A9">
      <w:pPr>
        <w:ind w:firstLine="1701"/>
      </w:pPr>
      <w:r>
        <w:t>(v)</w:t>
      </w:r>
      <w:r>
        <w:tab/>
      </w:r>
      <w:proofErr w:type="gramStart"/>
      <w:r w:rsidRPr="00757562">
        <w:t>the</w:t>
      </w:r>
      <w:proofErr w:type="gramEnd"/>
      <w:r w:rsidRPr="00757562">
        <w:t xml:space="preserve"> date of the statement.</w:t>
      </w:r>
    </w:p>
    <w:p w:rsidR="002168A9" w:rsidRPr="009B6E6F" w:rsidRDefault="002168A9" w:rsidP="002168A9">
      <w:pPr>
        <w:ind w:firstLine="1134"/>
        <w:rPr>
          <w:rFonts w:eastAsia="Times New Roman"/>
          <w:lang w:val="en-GB"/>
        </w:rPr>
      </w:pPr>
      <w:r w:rsidRPr="009B6E6F">
        <w:rPr>
          <w:rFonts w:eastAsia="Times New Roman"/>
          <w:lang w:val="en-GB"/>
        </w:rPr>
        <w:t>(c)</w:t>
      </w:r>
      <w:r w:rsidRPr="009B6E6F">
        <w:rPr>
          <w:rFonts w:eastAsia="Times New Roman"/>
          <w:lang w:val="en-GB"/>
        </w:rPr>
        <w:tab/>
        <w:t xml:space="preserve">Where the international registration was amended in a procedure before the Office, the </w:t>
      </w:r>
      <w:r w:rsidRPr="00757562">
        <w:t>statement</w:t>
      </w:r>
      <w:r w:rsidRPr="009B6E6F">
        <w:rPr>
          <w:rFonts w:eastAsia="Times New Roman"/>
          <w:lang w:val="en-GB"/>
        </w:rPr>
        <w:t xml:space="preserve"> shall also contain or indicate all amendments.</w:t>
      </w:r>
    </w:p>
    <w:p w:rsidR="002168A9" w:rsidRPr="00757562" w:rsidRDefault="002168A9" w:rsidP="002168A9"/>
    <w:p w:rsidR="002168A9" w:rsidRPr="009B6E6F" w:rsidRDefault="002168A9" w:rsidP="002168A9">
      <w:pPr>
        <w:ind w:firstLine="567"/>
        <w:rPr>
          <w:lang w:val="en-GB"/>
        </w:rPr>
      </w:pPr>
      <w:r w:rsidRPr="009B6E6F">
        <w:t>[…]</w:t>
      </w:r>
    </w:p>
    <w:p w:rsidR="002168A9" w:rsidRPr="00757562" w:rsidRDefault="002168A9" w:rsidP="002168A9">
      <w:pPr>
        <w:rPr>
          <w:lang w:val="en-GB"/>
        </w:rPr>
      </w:pPr>
    </w:p>
    <w:p w:rsidR="002168A9" w:rsidRDefault="002168A9" w:rsidP="002168A9"/>
    <w:p w:rsidR="002168A9" w:rsidRPr="0090411E" w:rsidRDefault="002168A9" w:rsidP="002168A9">
      <w:pPr>
        <w:spacing w:line="260" w:lineRule="exact"/>
      </w:pPr>
      <w:r>
        <w:t>[...]</w:t>
      </w:r>
    </w:p>
    <w:p w:rsidR="002168A9" w:rsidRDefault="002168A9" w:rsidP="002168A9">
      <w:pPr>
        <w:spacing w:line="260" w:lineRule="exact"/>
      </w:pPr>
    </w:p>
    <w:p w:rsidR="002168A9" w:rsidRPr="0090411E" w:rsidRDefault="002168A9" w:rsidP="002168A9">
      <w:pPr>
        <w:spacing w:line="260" w:lineRule="exact"/>
      </w:pPr>
    </w:p>
    <w:p w:rsidR="002168A9" w:rsidRDefault="002168A9" w:rsidP="002168A9">
      <w:pPr>
        <w:spacing w:line="260" w:lineRule="exact"/>
        <w:jc w:val="center"/>
      </w:pPr>
      <w:r>
        <w:t>SCHEDULE OF FEES</w:t>
      </w:r>
    </w:p>
    <w:p w:rsidR="002168A9" w:rsidRDefault="002168A9" w:rsidP="002168A9">
      <w:pPr>
        <w:spacing w:line="260" w:lineRule="exact"/>
        <w:jc w:val="center"/>
      </w:pPr>
    </w:p>
    <w:p w:rsidR="002168A9" w:rsidRDefault="002168A9" w:rsidP="002168A9">
      <w:pPr>
        <w:spacing w:line="260" w:lineRule="exact"/>
        <w:jc w:val="center"/>
      </w:pPr>
      <w:r>
        <w:t>(</w:t>
      </w:r>
      <w:proofErr w:type="gramStart"/>
      <w:r>
        <w:t>as</w:t>
      </w:r>
      <w:proofErr w:type="gramEnd"/>
      <w:r>
        <w:t xml:space="preserve"> in force on January 1, 2015)</w:t>
      </w:r>
    </w:p>
    <w:p w:rsidR="002168A9" w:rsidRDefault="002168A9" w:rsidP="002168A9"/>
    <w:p w:rsidR="002168A9" w:rsidRDefault="002168A9" w:rsidP="002168A9"/>
    <w:p w:rsidR="002168A9" w:rsidRDefault="002168A9" w:rsidP="002168A9">
      <w:r>
        <w:t>[…]</w:t>
      </w:r>
    </w:p>
    <w:p w:rsidR="002168A9" w:rsidRDefault="002168A9" w:rsidP="002168A9"/>
    <w:p w:rsidR="002168A9" w:rsidRDefault="002168A9" w:rsidP="002168A9">
      <w:r>
        <w:t>VII.</w:t>
      </w:r>
      <w:r>
        <w:tab/>
      </w:r>
      <w:r>
        <w:rPr>
          <w:i/>
        </w:rPr>
        <w:t>Services Provided by the Interna</w:t>
      </w:r>
      <w:bookmarkStart w:id="0" w:name="_GoBack"/>
      <w:bookmarkEnd w:id="0"/>
      <w:r>
        <w:rPr>
          <w:i/>
        </w:rPr>
        <w:t>tional Bureau</w:t>
      </w:r>
    </w:p>
    <w:p w:rsidR="002168A9" w:rsidRDefault="002168A9" w:rsidP="002168A9"/>
    <w:p w:rsidR="002168A9" w:rsidRDefault="002168A9" w:rsidP="002168A9">
      <w:pPr>
        <w:ind w:left="567" w:hanging="567"/>
      </w:pPr>
      <w:r>
        <w:t>24.</w:t>
      </w:r>
      <w:r>
        <w:tab/>
        <w:t>The International Bureau is authorized to collect a fee, whose amount it shall itself fix, for services not covered by this Schedule of Fees.</w:t>
      </w:r>
    </w:p>
    <w:p w:rsidR="002168A9" w:rsidRDefault="002168A9" w:rsidP="002168A9">
      <w:pPr>
        <w:pStyle w:val="Endofdocument-Annex"/>
      </w:pPr>
    </w:p>
    <w:p w:rsidR="002168A9" w:rsidRDefault="002168A9" w:rsidP="002168A9">
      <w:pPr>
        <w:pStyle w:val="Endofdocument-Annex"/>
      </w:pPr>
    </w:p>
    <w:p w:rsidR="000F5E56" w:rsidRDefault="00892011" w:rsidP="002168A9">
      <w:pPr>
        <w:pStyle w:val="Endofdocument-Annex"/>
      </w:pPr>
      <w:r>
        <w:t>[End of Annex]</w:t>
      </w:r>
    </w:p>
    <w:sectPr w:rsidR="000F5E56" w:rsidSect="00C90D77">
      <w:headerReference w:type="default" r:id="rId11"/>
      <w:headerReference w:type="first" r:id="rId12"/>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DD" w:rsidRDefault="003831DD" w:rsidP="002168A9">
      <w:r>
        <w:separator/>
      </w:r>
    </w:p>
  </w:endnote>
  <w:endnote w:type="continuationSeparator" w:id="0">
    <w:p w:rsidR="003831DD" w:rsidRDefault="003831DD" w:rsidP="0021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DD" w:rsidRDefault="003831DD" w:rsidP="002168A9">
      <w:r>
        <w:separator/>
      </w:r>
    </w:p>
  </w:footnote>
  <w:footnote w:type="continuationSeparator" w:id="0">
    <w:p w:rsidR="003831DD" w:rsidRDefault="003831DD" w:rsidP="002168A9">
      <w:r>
        <w:continuationSeparator/>
      </w:r>
    </w:p>
  </w:footnote>
  <w:footnote w:id="1">
    <w:p w:rsidR="001D4C63" w:rsidRPr="00EA2A1E" w:rsidRDefault="001D4C63" w:rsidP="001D4C63">
      <w:pPr>
        <w:pStyle w:val="FootnoteText"/>
        <w:rPr>
          <w:szCs w:val="18"/>
        </w:rPr>
      </w:pPr>
      <w:r w:rsidRPr="00EA2A1E">
        <w:rPr>
          <w:rStyle w:val="FootnoteReference"/>
          <w:szCs w:val="18"/>
        </w:rPr>
        <w:footnoteRef/>
      </w:r>
      <w:r w:rsidR="003D3234" w:rsidRPr="00EA2A1E">
        <w:rPr>
          <w:szCs w:val="18"/>
        </w:rPr>
        <w:tab/>
      </w:r>
      <w:r w:rsidRPr="00EA2A1E">
        <w:rPr>
          <w:szCs w:val="18"/>
        </w:rPr>
        <w:t xml:space="preserve">At the time of release of this Information Notice, Turkey and Spain have made a declaration under </w:t>
      </w:r>
      <w:r w:rsidRPr="00EA2A1E">
        <w:rPr>
          <w:rFonts w:eastAsia="Times New Roman"/>
          <w:szCs w:val="18"/>
          <w:lang w:eastAsia="ja-JP"/>
        </w:rPr>
        <w:t>Rule 18(1</w:t>
      </w:r>
      <w:proofErr w:type="gramStart"/>
      <w:r w:rsidRPr="00EA2A1E">
        <w:rPr>
          <w:rFonts w:eastAsia="Times New Roman"/>
          <w:szCs w:val="18"/>
          <w:lang w:eastAsia="ja-JP"/>
        </w:rPr>
        <w:t>)(</w:t>
      </w:r>
      <w:proofErr w:type="gramEnd"/>
      <w:r w:rsidRPr="00EA2A1E">
        <w:rPr>
          <w:rFonts w:eastAsia="Times New Roman"/>
          <w:szCs w:val="18"/>
          <w:lang w:eastAsia="ja-JP"/>
        </w:rPr>
        <w:t>c)(</w:t>
      </w:r>
      <w:proofErr w:type="spellStart"/>
      <w:r w:rsidRPr="00EA2A1E">
        <w:rPr>
          <w:rFonts w:eastAsia="Times New Roman"/>
          <w:szCs w:val="18"/>
          <w:lang w:eastAsia="ja-JP"/>
        </w:rPr>
        <w:t>i</w:t>
      </w:r>
      <w:proofErr w:type="spellEnd"/>
      <w:r w:rsidRPr="00EA2A1E">
        <w:rPr>
          <w:rFonts w:eastAsia="Times New Roman"/>
          <w:szCs w:val="18"/>
          <w:lang w:eastAsia="ja-JP"/>
        </w:rPr>
        <w:t>) of the Common Regulations and</w:t>
      </w:r>
      <w:r w:rsidR="008D2834" w:rsidRPr="00EA2A1E">
        <w:rPr>
          <w:rFonts w:eastAsia="Times New Roman"/>
          <w:szCs w:val="18"/>
          <w:lang w:eastAsia="ja-JP"/>
        </w:rPr>
        <w:t xml:space="preserve"> the</w:t>
      </w:r>
      <w:r w:rsidRPr="00EA2A1E">
        <w:rPr>
          <w:rFonts w:eastAsia="Times New Roman"/>
          <w:szCs w:val="18"/>
          <w:lang w:eastAsia="ja-JP"/>
        </w:rPr>
        <w:t xml:space="preserve"> Republic of Korea has made a declaration under Rule 18(1)(c)(ii).</w:t>
      </w:r>
    </w:p>
  </w:footnote>
  <w:footnote w:id="2">
    <w:p w:rsidR="00DE4A66" w:rsidRPr="00EA2A1E" w:rsidRDefault="00DE4A66">
      <w:pPr>
        <w:pStyle w:val="FootnoteText"/>
        <w:rPr>
          <w:szCs w:val="18"/>
        </w:rPr>
      </w:pPr>
      <w:r w:rsidRPr="00EA2A1E">
        <w:rPr>
          <w:rStyle w:val="FootnoteReference"/>
          <w:szCs w:val="18"/>
        </w:rPr>
        <w:footnoteRef/>
      </w:r>
      <w:r w:rsidR="003D3234" w:rsidRPr="00EA2A1E">
        <w:rPr>
          <w:szCs w:val="18"/>
        </w:rPr>
        <w:tab/>
      </w:r>
      <w:r w:rsidRPr="00EA2A1E">
        <w:rPr>
          <w:rFonts w:eastAsia="Times New Roman"/>
          <w:szCs w:val="18"/>
          <w:lang w:eastAsia="ja-JP"/>
        </w:rPr>
        <w:t xml:space="preserve">Depending on the national/regional law, such a date could be, for instance, the date of the </w:t>
      </w:r>
      <w:r w:rsidR="00143A89" w:rsidRPr="00EA2A1E">
        <w:rPr>
          <w:rFonts w:eastAsia="Times New Roman"/>
          <w:szCs w:val="18"/>
          <w:lang w:eastAsia="ja-JP"/>
        </w:rPr>
        <w:t xml:space="preserve">scheduled </w:t>
      </w:r>
      <w:r w:rsidRPr="00EA2A1E">
        <w:rPr>
          <w:rFonts w:eastAsia="Times New Roman"/>
          <w:szCs w:val="18"/>
          <w:lang w:eastAsia="ja-JP"/>
        </w:rPr>
        <w:t>republication of the international registration at the national level.</w:t>
      </w:r>
    </w:p>
  </w:footnote>
  <w:footnote w:id="3">
    <w:p w:rsidR="00F669C4" w:rsidRPr="00EA2A1E" w:rsidRDefault="00F669C4">
      <w:pPr>
        <w:pStyle w:val="FootnoteText"/>
        <w:rPr>
          <w:szCs w:val="18"/>
        </w:rPr>
      </w:pPr>
      <w:r w:rsidRPr="00EA2A1E">
        <w:rPr>
          <w:rStyle w:val="FootnoteReference"/>
          <w:szCs w:val="18"/>
        </w:rPr>
        <w:footnoteRef/>
      </w:r>
      <w:r w:rsidR="00B63094" w:rsidRPr="00EA2A1E">
        <w:rPr>
          <w:szCs w:val="18"/>
        </w:rPr>
        <w:tab/>
      </w:r>
      <w:r w:rsidRPr="00EA2A1E">
        <w:rPr>
          <w:szCs w:val="18"/>
        </w:rPr>
        <w:t xml:space="preserve">It is recalled that either a </w:t>
      </w:r>
      <w:r w:rsidR="00CF3D0E" w:rsidRPr="00EA2A1E">
        <w:rPr>
          <w:szCs w:val="18"/>
        </w:rPr>
        <w:t xml:space="preserve">notification of </w:t>
      </w:r>
      <w:r w:rsidRPr="00EA2A1E">
        <w:rPr>
          <w:szCs w:val="18"/>
        </w:rPr>
        <w:t>withdrawal of refusal under Rule</w:t>
      </w:r>
      <w:r w:rsidR="00E07D93" w:rsidRPr="00EA2A1E">
        <w:rPr>
          <w:szCs w:val="18"/>
        </w:rPr>
        <w:t> </w:t>
      </w:r>
      <w:r w:rsidRPr="00EA2A1E">
        <w:rPr>
          <w:szCs w:val="18"/>
        </w:rPr>
        <w:t>18(4</w:t>
      </w:r>
      <w:r w:rsidR="00CF3D0E" w:rsidRPr="00EA2A1E">
        <w:rPr>
          <w:szCs w:val="18"/>
        </w:rPr>
        <w:t>) or</w:t>
      </w:r>
      <w:r w:rsidRPr="00EA2A1E">
        <w:rPr>
          <w:szCs w:val="18"/>
        </w:rPr>
        <w:t xml:space="preserve"> a statement of grant of protecti</w:t>
      </w:r>
      <w:r w:rsidR="0084646F" w:rsidRPr="00EA2A1E">
        <w:rPr>
          <w:szCs w:val="18"/>
        </w:rPr>
        <w:t>on under Rule </w:t>
      </w:r>
      <w:proofErr w:type="gramStart"/>
      <w:r w:rsidR="0084646F" w:rsidRPr="00EA2A1E">
        <w:rPr>
          <w:szCs w:val="18"/>
        </w:rPr>
        <w:t>18</w:t>
      </w:r>
      <w:r w:rsidR="0084646F" w:rsidRPr="00EA2A1E">
        <w:rPr>
          <w:i/>
          <w:szCs w:val="18"/>
        </w:rPr>
        <w:t>bis</w:t>
      </w:r>
      <w:r w:rsidR="0084646F" w:rsidRPr="00EA2A1E">
        <w:rPr>
          <w:szCs w:val="18"/>
        </w:rPr>
        <w:t>(</w:t>
      </w:r>
      <w:proofErr w:type="gramEnd"/>
      <w:r w:rsidR="0084646F" w:rsidRPr="00EA2A1E">
        <w:rPr>
          <w:szCs w:val="18"/>
        </w:rPr>
        <w:t xml:space="preserve">2) must be </w:t>
      </w:r>
      <w:r w:rsidRPr="00EA2A1E">
        <w:rPr>
          <w:szCs w:val="18"/>
        </w:rPr>
        <w:t>sen</w:t>
      </w:r>
      <w:r w:rsidR="00E07D93" w:rsidRPr="00EA2A1E">
        <w:rPr>
          <w:szCs w:val="18"/>
        </w:rPr>
        <w:t>t</w:t>
      </w:r>
      <w:r w:rsidRPr="00EA2A1E">
        <w:rPr>
          <w:szCs w:val="18"/>
        </w:rPr>
        <w:t xml:space="preserve"> where a notification of refusal for the same design has been communicated.  </w:t>
      </w:r>
      <w:r w:rsidR="00CF3D0E" w:rsidRPr="00EA2A1E">
        <w:rPr>
          <w:szCs w:val="18"/>
        </w:rPr>
        <w:t>The notification under Rule</w:t>
      </w:r>
      <w:r w:rsidR="0084646F" w:rsidRPr="00EA2A1E">
        <w:rPr>
          <w:szCs w:val="18"/>
        </w:rPr>
        <w:t> </w:t>
      </w:r>
      <w:r w:rsidR="00CF3D0E" w:rsidRPr="00EA2A1E">
        <w:rPr>
          <w:szCs w:val="18"/>
        </w:rPr>
        <w:t>18(4) or the statement under Rule</w:t>
      </w:r>
      <w:r w:rsidR="0084646F" w:rsidRPr="00EA2A1E">
        <w:rPr>
          <w:szCs w:val="18"/>
        </w:rPr>
        <w:t> </w:t>
      </w:r>
      <w:proofErr w:type="gramStart"/>
      <w:r w:rsidR="00CF3D0E" w:rsidRPr="00EA2A1E">
        <w:rPr>
          <w:szCs w:val="18"/>
        </w:rPr>
        <w:t>18</w:t>
      </w:r>
      <w:r w:rsidR="00CF3D0E" w:rsidRPr="00EA2A1E">
        <w:rPr>
          <w:i/>
          <w:szCs w:val="18"/>
        </w:rPr>
        <w:t>bis</w:t>
      </w:r>
      <w:r w:rsidR="00CF3D0E" w:rsidRPr="00EA2A1E">
        <w:rPr>
          <w:szCs w:val="18"/>
        </w:rPr>
        <w:t>(</w:t>
      </w:r>
      <w:proofErr w:type="gramEnd"/>
      <w:r w:rsidR="00CF3D0E" w:rsidRPr="00EA2A1E">
        <w:rPr>
          <w:szCs w:val="18"/>
        </w:rPr>
        <w:t>2) may not concern any other designs than those to which the refusal relates.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F7" w:rsidRDefault="00FD7F25" w:rsidP="00DD4C78">
    <w:pPr>
      <w:pStyle w:val="Header"/>
      <w:jc w:val="right"/>
      <w:rPr>
        <w:lang w:val="fr-CH"/>
      </w:rPr>
    </w:pPr>
  </w:p>
  <w:p w:rsidR="004921F7" w:rsidRDefault="00DE12B7" w:rsidP="00DD4C78">
    <w:pPr>
      <w:pStyle w:val="Header"/>
      <w:jc w:val="right"/>
      <w:rPr>
        <w:lang w:val="fr-CH"/>
      </w:rPr>
    </w:pPr>
    <w:proofErr w:type="gramStart"/>
    <w:r>
      <w:rPr>
        <w:lang w:val="fr-CH"/>
      </w:rPr>
      <w:t>page</w:t>
    </w:r>
    <w:proofErr w:type="gramEnd"/>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FD7F25">
      <w:rPr>
        <w:rStyle w:val="PageNumber"/>
        <w:noProof/>
      </w:rPr>
      <w:t>2</w:t>
    </w:r>
    <w:r>
      <w:rPr>
        <w:rStyle w:val="PageNumber"/>
      </w:rPr>
      <w:fldChar w:fldCharType="end"/>
    </w:r>
  </w:p>
  <w:p w:rsidR="004921F7" w:rsidRPr="00DD4C78" w:rsidRDefault="00FD7F25" w:rsidP="00DD4C78">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77" w:rsidRDefault="00C90D77" w:rsidP="00DD4C78">
    <w:pPr>
      <w:pStyle w:val="Header"/>
      <w:jc w:val="right"/>
      <w:rPr>
        <w:lang w:val="fr-CH"/>
      </w:rPr>
    </w:pPr>
    <w:proofErr w:type="spellStart"/>
    <w:r>
      <w:rPr>
        <w:lang w:val="fr-CH"/>
      </w:rPr>
      <w:t>Annex</w:t>
    </w:r>
    <w:proofErr w:type="spellEnd"/>
    <w:r>
      <w:rPr>
        <w:lang w:val="fr-CH"/>
      </w:rPr>
      <w:t xml:space="preserve">, page </w:t>
    </w:r>
    <w:r w:rsidRPr="00C90D77">
      <w:rPr>
        <w:lang w:val="fr-CH"/>
      </w:rPr>
      <w:fldChar w:fldCharType="begin"/>
    </w:r>
    <w:r w:rsidRPr="00C90D77">
      <w:rPr>
        <w:lang w:val="fr-CH"/>
      </w:rPr>
      <w:instrText xml:space="preserve"> PAGE   \* MERGEFORMAT </w:instrText>
    </w:r>
    <w:r w:rsidRPr="00C90D77">
      <w:rPr>
        <w:lang w:val="fr-CH"/>
      </w:rPr>
      <w:fldChar w:fldCharType="separate"/>
    </w:r>
    <w:r w:rsidR="00FD7F25">
      <w:rPr>
        <w:noProof/>
        <w:lang w:val="fr-CH"/>
      </w:rPr>
      <w:t>2</w:t>
    </w:r>
    <w:r w:rsidRPr="00C90D77">
      <w:rPr>
        <w:noProof/>
        <w:lang w:val="fr-CH"/>
      </w:rPr>
      <w:fldChar w:fldCharType="end"/>
    </w:r>
  </w:p>
  <w:p w:rsidR="00C90D77" w:rsidRDefault="00C90D77" w:rsidP="00DD4C78">
    <w:pPr>
      <w:pStyle w:val="Header"/>
      <w:jc w:val="right"/>
      <w:rPr>
        <w:lang w:val="fr-CH"/>
      </w:rPr>
    </w:pPr>
  </w:p>
  <w:p w:rsidR="00C90D77" w:rsidRPr="00DD4C78" w:rsidRDefault="00C90D77" w:rsidP="00DD4C78">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A9" w:rsidRDefault="00C90D77" w:rsidP="00E903C8">
    <w:pPr>
      <w:pStyle w:val="Header"/>
      <w:jc w:val="right"/>
    </w:pPr>
    <w:r>
      <w:t>ANNEX</w:t>
    </w:r>
  </w:p>
  <w:p w:rsidR="002168A9" w:rsidRDefault="002168A9" w:rsidP="00E903C8">
    <w:pPr>
      <w:pStyle w:val="Header"/>
      <w:jc w:val="right"/>
    </w:pPr>
  </w:p>
  <w:p w:rsidR="002168A9" w:rsidRDefault="002168A9" w:rsidP="00E903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5E2C08"/>
    <w:lvl w:ilvl="0">
      <w:start w:val="1"/>
      <w:numFmt w:val="decimal"/>
      <w:lvlRestart w:val="0"/>
      <w:lvlText w:val="%1."/>
      <w:lvlJc w:val="left"/>
      <w:pPr>
        <w:tabs>
          <w:tab w:val="num" w:pos="567"/>
        </w:tabs>
        <w:ind w:left="0" w:firstLine="0"/>
      </w:pPr>
      <w:rPr>
        <w:rFonts w:ascii="Arial" w:eastAsia="SimSun" w:hAnsi="Arial" w:cs="Arial"/>
        <w:i w:val="0"/>
      </w:rPr>
    </w:lvl>
    <w:lvl w:ilvl="1">
      <w:start w:val="1"/>
      <w:numFmt w:val="lowerLetter"/>
      <w:lvlText w:val="(%2)"/>
      <w:lvlJc w:val="left"/>
      <w:pPr>
        <w:tabs>
          <w:tab w:val="num" w:pos="504"/>
        </w:tabs>
        <w:ind w:left="-63" w:firstLine="0"/>
      </w:pPr>
      <w:rPr>
        <w:rFonts w:hint="default"/>
      </w:rPr>
    </w:lvl>
    <w:lvl w:ilvl="2">
      <w:start w:val="1"/>
      <w:numFmt w:val="lowerRoman"/>
      <w:lvlText w:val="(%3)"/>
      <w:lvlJc w:val="left"/>
      <w:pPr>
        <w:tabs>
          <w:tab w:val="num" w:pos="1071"/>
        </w:tabs>
        <w:ind w:left="504" w:firstLine="0"/>
      </w:pPr>
      <w:rPr>
        <w:rFonts w:hint="default"/>
      </w:rPr>
    </w:lvl>
    <w:lvl w:ilvl="3">
      <w:start w:val="1"/>
      <w:numFmt w:val="bullet"/>
      <w:lvlText w:val=""/>
      <w:lvlJc w:val="left"/>
      <w:pPr>
        <w:tabs>
          <w:tab w:val="num" w:pos="1638"/>
        </w:tabs>
        <w:ind w:left="1071" w:firstLine="0"/>
      </w:pPr>
      <w:rPr>
        <w:rFonts w:hint="default"/>
      </w:rPr>
    </w:lvl>
    <w:lvl w:ilvl="4">
      <w:start w:val="1"/>
      <w:numFmt w:val="bullet"/>
      <w:lvlText w:val=""/>
      <w:lvlJc w:val="left"/>
      <w:pPr>
        <w:tabs>
          <w:tab w:val="num" w:pos="2205"/>
        </w:tabs>
        <w:ind w:left="1638" w:firstLine="0"/>
      </w:pPr>
      <w:rPr>
        <w:rFonts w:hint="default"/>
      </w:rPr>
    </w:lvl>
    <w:lvl w:ilvl="5">
      <w:start w:val="1"/>
      <w:numFmt w:val="bullet"/>
      <w:lvlText w:val=""/>
      <w:lvlJc w:val="left"/>
      <w:pPr>
        <w:tabs>
          <w:tab w:val="num" w:pos="2772"/>
        </w:tabs>
        <w:ind w:left="2205" w:firstLine="0"/>
      </w:pPr>
      <w:rPr>
        <w:rFonts w:hint="default"/>
      </w:rPr>
    </w:lvl>
    <w:lvl w:ilvl="6">
      <w:start w:val="1"/>
      <w:numFmt w:val="bullet"/>
      <w:lvlText w:val=""/>
      <w:lvlJc w:val="left"/>
      <w:pPr>
        <w:tabs>
          <w:tab w:val="num" w:pos="3339"/>
        </w:tabs>
        <w:ind w:left="2772" w:firstLine="0"/>
      </w:pPr>
      <w:rPr>
        <w:rFonts w:hint="default"/>
      </w:rPr>
    </w:lvl>
    <w:lvl w:ilvl="7">
      <w:start w:val="1"/>
      <w:numFmt w:val="bullet"/>
      <w:lvlText w:val=""/>
      <w:lvlJc w:val="left"/>
      <w:pPr>
        <w:tabs>
          <w:tab w:val="num" w:pos="3905"/>
        </w:tabs>
        <w:ind w:left="3339" w:firstLine="0"/>
      </w:pPr>
      <w:rPr>
        <w:rFonts w:hint="default"/>
      </w:rPr>
    </w:lvl>
    <w:lvl w:ilvl="8">
      <w:start w:val="1"/>
      <w:numFmt w:val="bullet"/>
      <w:lvlText w:val=""/>
      <w:lvlJc w:val="left"/>
      <w:pPr>
        <w:tabs>
          <w:tab w:val="num" w:pos="4472"/>
        </w:tabs>
        <w:ind w:left="390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6"/>
  </w:num>
  <w:num w:numId="4">
    <w:abstractNumId w:val="5"/>
  </w:num>
  <w:num w:numId="5">
    <w:abstractNumId w:val="0"/>
  </w:num>
  <w:num w:numId="6">
    <w:abstractNumId w:val="4"/>
  </w:num>
  <w:num w:numId="7">
    <w:abstractNumId w:val="1"/>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8A9"/>
    <w:rsid w:val="0000273D"/>
    <w:rsid w:val="00015225"/>
    <w:rsid w:val="00017C9A"/>
    <w:rsid w:val="00030751"/>
    <w:rsid w:val="000345C5"/>
    <w:rsid w:val="00036611"/>
    <w:rsid w:val="00041546"/>
    <w:rsid w:val="00042705"/>
    <w:rsid w:val="0006731E"/>
    <w:rsid w:val="00071467"/>
    <w:rsid w:val="000A0FAF"/>
    <w:rsid w:val="000A4F19"/>
    <w:rsid w:val="000B175C"/>
    <w:rsid w:val="000B48C9"/>
    <w:rsid w:val="000C2080"/>
    <w:rsid w:val="000D1CA5"/>
    <w:rsid w:val="000F2D75"/>
    <w:rsid w:val="000F4126"/>
    <w:rsid w:val="000F5E56"/>
    <w:rsid w:val="000F7703"/>
    <w:rsid w:val="0010296C"/>
    <w:rsid w:val="00107289"/>
    <w:rsid w:val="00110DBA"/>
    <w:rsid w:val="00110FA1"/>
    <w:rsid w:val="00115B93"/>
    <w:rsid w:val="00124094"/>
    <w:rsid w:val="001245D9"/>
    <w:rsid w:val="001246C8"/>
    <w:rsid w:val="0013766B"/>
    <w:rsid w:val="00143A89"/>
    <w:rsid w:val="00150C00"/>
    <w:rsid w:val="001512CE"/>
    <w:rsid w:val="00152B01"/>
    <w:rsid w:val="0015404E"/>
    <w:rsid w:val="00163BC1"/>
    <w:rsid w:val="00163CA4"/>
    <w:rsid w:val="00165D45"/>
    <w:rsid w:val="00166B6C"/>
    <w:rsid w:val="001738E5"/>
    <w:rsid w:val="00176719"/>
    <w:rsid w:val="00181D39"/>
    <w:rsid w:val="001871A9"/>
    <w:rsid w:val="001A4209"/>
    <w:rsid w:val="001A5C0B"/>
    <w:rsid w:val="001A6F45"/>
    <w:rsid w:val="001B2FBB"/>
    <w:rsid w:val="001B4C91"/>
    <w:rsid w:val="001C033F"/>
    <w:rsid w:val="001C5CDA"/>
    <w:rsid w:val="001D36A6"/>
    <w:rsid w:val="001D3CC9"/>
    <w:rsid w:val="001D3EC4"/>
    <w:rsid w:val="001D4C63"/>
    <w:rsid w:val="001E3B48"/>
    <w:rsid w:val="001F3C11"/>
    <w:rsid w:val="001F5496"/>
    <w:rsid w:val="001F58A2"/>
    <w:rsid w:val="001F7ADA"/>
    <w:rsid w:val="00200899"/>
    <w:rsid w:val="00203C30"/>
    <w:rsid w:val="00203DD3"/>
    <w:rsid w:val="00210692"/>
    <w:rsid w:val="002134F2"/>
    <w:rsid w:val="00216724"/>
    <w:rsid w:val="002168A9"/>
    <w:rsid w:val="002249C0"/>
    <w:rsid w:val="00225AC4"/>
    <w:rsid w:val="00234B61"/>
    <w:rsid w:val="00235155"/>
    <w:rsid w:val="00241C69"/>
    <w:rsid w:val="00244316"/>
    <w:rsid w:val="00251D11"/>
    <w:rsid w:val="002555B2"/>
    <w:rsid w:val="0026366F"/>
    <w:rsid w:val="00270DAF"/>
    <w:rsid w:val="0028035E"/>
    <w:rsid w:val="00281E32"/>
    <w:rsid w:val="00283457"/>
    <w:rsid w:val="0029296C"/>
    <w:rsid w:val="002A43DD"/>
    <w:rsid w:val="002A76EF"/>
    <w:rsid w:val="002B7361"/>
    <w:rsid w:val="002C1E35"/>
    <w:rsid w:val="002C6DF9"/>
    <w:rsid w:val="002D1628"/>
    <w:rsid w:val="002D513C"/>
    <w:rsid w:val="002D7830"/>
    <w:rsid w:val="002E4B8B"/>
    <w:rsid w:val="002F774C"/>
    <w:rsid w:val="00302B3B"/>
    <w:rsid w:val="0031191F"/>
    <w:rsid w:val="00316E3E"/>
    <w:rsid w:val="0031729A"/>
    <w:rsid w:val="00326265"/>
    <w:rsid w:val="00347570"/>
    <w:rsid w:val="00347B8D"/>
    <w:rsid w:val="00356E31"/>
    <w:rsid w:val="003677FB"/>
    <w:rsid w:val="0036784E"/>
    <w:rsid w:val="00371190"/>
    <w:rsid w:val="003826AA"/>
    <w:rsid w:val="00382ECD"/>
    <w:rsid w:val="003831DD"/>
    <w:rsid w:val="0039576D"/>
    <w:rsid w:val="003A7DF3"/>
    <w:rsid w:val="003C469E"/>
    <w:rsid w:val="003C4F54"/>
    <w:rsid w:val="003C6B5E"/>
    <w:rsid w:val="003D3234"/>
    <w:rsid w:val="003D3BDF"/>
    <w:rsid w:val="003E3898"/>
    <w:rsid w:val="003E3D42"/>
    <w:rsid w:val="003F0B48"/>
    <w:rsid w:val="00400694"/>
    <w:rsid w:val="00401873"/>
    <w:rsid w:val="004027E1"/>
    <w:rsid w:val="00412921"/>
    <w:rsid w:val="00415ED5"/>
    <w:rsid w:val="00425D5D"/>
    <w:rsid w:val="004302BA"/>
    <w:rsid w:val="00431024"/>
    <w:rsid w:val="00431118"/>
    <w:rsid w:val="004332F9"/>
    <w:rsid w:val="0044207E"/>
    <w:rsid w:val="0044711D"/>
    <w:rsid w:val="00450E8D"/>
    <w:rsid w:val="00451C25"/>
    <w:rsid w:val="00451FB1"/>
    <w:rsid w:val="004574D8"/>
    <w:rsid w:val="00457DB8"/>
    <w:rsid w:val="00470C9F"/>
    <w:rsid w:val="0049123B"/>
    <w:rsid w:val="00495E6A"/>
    <w:rsid w:val="004B33D6"/>
    <w:rsid w:val="004C01FF"/>
    <w:rsid w:val="004C78B1"/>
    <w:rsid w:val="004D6080"/>
    <w:rsid w:val="004D63CB"/>
    <w:rsid w:val="004E565E"/>
    <w:rsid w:val="004E69EE"/>
    <w:rsid w:val="00503CD7"/>
    <w:rsid w:val="00506DC2"/>
    <w:rsid w:val="005075F4"/>
    <w:rsid w:val="005228AF"/>
    <w:rsid w:val="0053326A"/>
    <w:rsid w:val="005400CB"/>
    <w:rsid w:val="005407B6"/>
    <w:rsid w:val="00542A24"/>
    <w:rsid w:val="00543333"/>
    <w:rsid w:val="005434CA"/>
    <w:rsid w:val="00553BE7"/>
    <w:rsid w:val="0055638E"/>
    <w:rsid w:val="005574D5"/>
    <w:rsid w:val="00557C09"/>
    <w:rsid w:val="00571BD9"/>
    <w:rsid w:val="00571F30"/>
    <w:rsid w:val="00575E27"/>
    <w:rsid w:val="00584D42"/>
    <w:rsid w:val="00592133"/>
    <w:rsid w:val="0059589B"/>
    <w:rsid w:val="00596A6F"/>
    <w:rsid w:val="005A1223"/>
    <w:rsid w:val="005A15C3"/>
    <w:rsid w:val="005A58C8"/>
    <w:rsid w:val="005A6ECB"/>
    <w:rsid w:val="005B23A2"/>
    <w:rsid w:val="005B3324"/>
    <w:rsid w:val="005B39B3"/>
    <w:rsid w:val="005B4314"/>
    <w:rsid w:val="005C7F6A"/>
    <w:rsid w:val="005D2A3B"/>
    <w:rsid w:val="005D65CF"/>
    <w:rsid w:val="005D7EFA"/>
    <w:rsid w:val="005F598E"/>
    <w:rsid w:val="005F5E17"/>
    <w:rsid w:val="005F7F6A"/>
    <w:rsid w:val="00602058"/>
    <w:rsid w:val="00610AB8"/>
    <w:rsid w:val="006173C9"/>
    <w:rsid w:val="00622DB8"/>
    <w:rsid w:val="006368D1"/>
    <w:rsid w:val="006408F6"/>
    <w:rsid w:val="006575D2"/>
    <w:rsid w:val="00661341"/>
    <w:rsid w:val="00661E11"/>
    <w:rsid w:val="00667A37"/>
    <w:rsid w:val="00672752"/>
    <w:rsid w:val="006734BA"/>
    <w:rsid w:val="006807FD"/>
    <w:rsid w:val="00681205"/>
    <w:rsid w:val="00690BA2"/>
    <w:rsid w:val="00692BB3"/>
    <w:rsid w:val="00695173"/>
    <w:rsid w:val="0069651B"/>
    <w:rsid w:val="00697D73"/>
    <w:rsid w:val="006A0A43"/>
    <w:rsid w:val="006A7CC2"/>
    <w:rsid w:val="006B0C87"/>
    <w:rsid w:val="006B62C4"/>
    <w:rsid w:val="006B6778"/>
    <w:rsid w:val="006B67D2"/>
    <w:rsid w:val="006B70AF"/>
    <w:rsid w:val="006C6308"/>
    <w:rsid w:val="006C7871"/>
    <w:rsid w:val="006E06A9"/>
    <w:rsid w:val="006E3CA9"/>
    <w:rsid w:val="006F62A1"/>
    <w:rsid w:val="00700EAB"/>
    <w:rsid w:val="00707572"/>
    <w:rsid w:val="0070789F"/>
    <w:rsid w:val="007104B5"/>
    <w:rsid w:val="0072569C"/>
    <w:rsid w:val="007256CB"/>
    <w:rsid w:val="007344B4"/>
    <w:rsid w:val="007451B7"/>
    <w:rsid w:val="00754CC2"/>
    <w:rsid w:val="00761345"/>
    <w:rsid w:val="00770A3B"/>
    <w:rsid w:val="00770B68"/>
    <w:rsid w:val="007860D5"/>
    <w:rsid w:val="0078727F"/>
    <w:rsid w:val="00793D3D"/>
    <w:rsid w:val="00797285"/>
    <w:rsid w:val="00797D4D"/>
    <w:rsid w:val="007B240C"/>
    <w:rsid w:val="007D371E"/>
    <w:rsid w:val="007D53C7"/>
    <w:rsid w:val="007D5E31"/>
    <w:rsid w:val="007D5F0F"/>
    <w:rsid w:val="007D73D5"/>
    <w:rsid w:val="007E0D5A"/>
    <w:rsid w:val="007E4F45"/>
    <w:rsid w:val="007F2D6D"/>
    <w:rsid w:val="007F4E2E"/>
    <w:rsid w:val="00804DB7"/>
    <w:rsid w:val="00806B72"/>
    <w:rsid w:val="00815542"/>
    <w:rsid w:val="00825C3D"/>
    <w:rsid w:val="00826AE5"/>
    <w:rsid w:val="0083034F"/>
    <w:rsid w:val="00830FF2"/>
    <w:rsid w:val="0083547D"/>
    <w:rsid w:val="00835CA6"/>
    <w:rsid w:val="00842DB2"/>
    <w:rsid w:val="0084646F"/>
    <w:rsid w:val="00862E1A"/>
    <w:rsid w:val="008648C0"/>
    <w:rsid w:val="00865DA2"/>
    <w:rsid w:val="00866AA2"/>
    <w:rsid w:val="00870286"/>
    <w:rsid w:val="00892011"/>
    <w:rsid w:val="00893AF2"/>
    <w:rsid w:val="008978CF"/>
    <w:rsid w:val="008A4D23"/>
    <w:rsid w:val="008B17A6"/>
    <w:rsid w:val="008C1E20"/>
    <w:rsid w:val="008C3EA7"/>
    <w:rsid w:val="008D2834"/>
    <w:rsid w:val="008D564D"/>
    <w:rsid w:val="008D5D54"/>
    <w:rsid w:val="008D6847"/>
    <w:rsid w:val="008D7707"/>
    <w:rsid w:val="008F0153"/>
    <w:rsid w:val="009029C1"/>
    <w:rsid w:val="009067A3"/>
    <w:rsid w:val="00906B39"/>
    <w:rsid w:val="00907D37"/>
    <w:rsid w:val="00910EFE"/>
    <w:rsid w:val="00913DE1"/>
    <w:rsid w:val="00914241"/>
    <w:rsid w:val="009147B2"/>
    <w:rsid w:val="0091714D"/>
    <w:rsid w:val="009174F7"/>
    <w:rsid w:val="009411EE"/>
    <w:rsid w:val="00941F5F"/>
    <w:rsid w:val="009431BC"/>
    <w:rsid w:val="00943207"/>
    <w:rsid w:val="00951BA2"/>
    <w:rsid w:val="00953000"/>
    <w:rsid w:val="00960784"/>
    <w:rsid w:val="00961840"/>
    <w:rsid w:val="00961DB3"/>
    <w:rsid w:val="009633F8"/>
    <w:rsid w:val="00970EA0"/>
    <w:rsid w:val="00973B65"/>
    <w:rsid w:val="00974F9A"/>
    <w:rsid w:val="0097697E"/>
    <w:rsid w:val="009A1335"/>
    <w:rsid w:val="009A2785"/>
    <w:rsid w:val="009B6A5E"/>
    <w:rsid w:val="009B741D"/>
    <w:rsid w:val="009B7483"/>
    <w:rsid w:val="009C3712"/>
    <w:rsid w:val="009C4434"/>
    <w:rsid w:val="009D4E66"/>
    <w:rsid w:val="009D5A57"/>
    <w:rsid w:val="009D6077"/>
    <w:rsid w:val="009F03E7"/>
    <w:rsid w:val="009F0845"/>
    <w:rsid w:val="009F7A0A"/>
    <w:rsid w:val="00A05980"/>
    <w:rsid w:val="00A13AB2"/>
    <w:rsid w:val="00A2047E"/>
    <w:rsid w:val="00A3267E"/>
    <w:rsid w:val="00A44C4A"/>
    <w:rsid w:val="00A4772A"/>
    <w:rsid w:val="00A50DA0"/>
    <w:rsid w:val="00A53135"/>
    <w:rsid w:val="00A56833"/>
    <w:rsid w:val="00A56BFB"/>
    <w:rsid w:val="00A62CCA"/>
    <w:rsid w:val="00A67184"/>
    <w:rsid w:val="00A8270E"/>
    <w:rsid w:val="00A86C10"/>
    <w:rsid w:val="00A87083"/>
    <w:rsid w:val="00A96DD7"/>
    <w:rsid w:val="00AA0A23"/>
    <w:rsid w:val="00AA12DA"/>
    <w:rsid w:val="00AA2FEB"/>
    <w:rsid w:val="00AB11DE"/>
    <w:rsid w:val="00AB453A"/>
    <w:rsid w:val="00AF077A"/>
    <w:rsid w:val="00AF0CA2"/>
    <w:rsid w:val="00AF3FB2"/>
    <w:rsid w:val="00AF5032"/>
    <w:rsid w:val="00B03421"/>
    <w:rsid w:val="00B04741"/>
    <w:rsid w:val="00B105C9"/>
    <w:rsid w:val="00B153FF"/>
    <w:rsid w:val="00B169B7"/>
    <w:rsid w:val="00B404CB"/>
    <w:rsid w:val="00B4192A"/>
    <w:rsid w:val="00B44B85"/>
    <w:rsid w:val="00B453BC"/>
    <w:rsid w:val="00B52525"/>
    <w:rsid w:val="00B55218"/>
    <w:rsid w:val="00B566C4"/>
    <w:rsid w:val="00B63094"/>
    <w:rsid w:val="00B65EA3"/>
    <w:rsid w:val="00B705B5"/>
    <w:rsid w:val="00B7395D"/>
    <w:rsid w:val="00B753B4"/>
    <w:rsid w:val="00B77845"/>
    <w:rsid w:val="00B847C5"/>
    <w:rsid w:val="00B85380"/>
    <w:rsid w:val="00BA4968"/>
    <w:rsid w:val="00BA7B60"/>
    <w:rsid w:val="00BB5E1E"/>
    <w:rsid w:val="00BB7F37"/>
    <w:rsid w:val="00BC69BD"/>
    <w:rsid w:val="00BD302C"/>
    <w:rsid w:val="00BF351A"/>
    <w:rsid w:val="00BF4B31"/>
    <w:rsid w:val="00BF545C"/>
    <w:rsid w:val="00C00B67"/>
    <w:rsid w:val="00C018E5"/>
    <w:rsid w:val="00C02830"/>
    <w:rsid w:val="00C06897"/>
    <w:rsid w:val="00C12EC6"/>
    <w:rsid w:val="00C26243"/>
    <w:rsid w:val="00C30864"/>
    <w:rsid w:val="00C434A5"/>
    <w:rsid w:val="00C4551E"/>
    <w:rsid w:val="00C52A41"/>
    <w:rsid w:val="00C534B1"/>
    <w:rsid w:val="00C554EC"/>
    <w:rsid w:val="00C55594"/>
    <w:rsid w:val="00C572A4"/>
    <w:rsid w:val="00C61E71"/>
    <w:rsid w:val="00C63CFC"/>
    <w:rsid w:val="00C70030"/>
    <w:rsid w:val="00C7036F"/>
    <w:rsid w:val="00C7637A"/>
    <w:rsid w:val="00C774DB"/>
    <w:rsid w:val="00C83012"/>
    <w:rsid w:val="00C85CBD"/>
    <w:rsid w:val="00C90D77"/>
    <w:rsid w:val="00CA2DF5"/>
    <w:rsid w:val="00CA6489"/>
    <w:rsid w:val="00CC07FB"/>
    <w:rsid w:val="00CD0945"/>
    <w:rsid w:val="00CD794F"/>
    <w:rsid w:val="00CE247D"/>
    <w:rsid w:val="00CE47BE"/>
    <w:rsid w:val="00CF0069"/>
    <w:rsid w:val="00CF0FDF"/>
    <w:rsid w:val="00CF3D0E"/>
    <w:rsid w:val="00D00517"/>
    <w:rsid w:val="00D07207"/>
    <w:rsid w:val="00D10F82"/>
    <w:rsid w:val="00D1770F"/>
    <w:rsid w:val="00D22B49"/>
    <w:rsid w:val="00D233E7"/>
    <w:rsid w:val="00D3167B"/>
    <w:rsid w:val="00D43A40"/>
    <w:rsid w:val="00D45CEB"/>
    <w:rsid w:val="00D51703"/>
    <w:rsid w:val="00D62D21"/>
    <w:rsid w:val="00D64DBF"/>
    <w:rsid w:val="00D83431"/>
    <w:rsid w:val="00D836CC"/>
    <w:rsid w:val="00D8682F"/>
    <w:rsid w:val="00D91034"/>
    <w:rsid w:val="00D911D8"/>
    <w:rsid w:val="00DA1B41"/>
    <w:rsid w:val="00DA3F78"/>
    <w:rsid w:val="00DA47BD"/>
    <w:rsid w:val="00DA50E8"/>
    <w:rsid w:val="00DA6327"/>
    <w:rsid w:val="00DB421D"/>
    <w:rsid w:val="00DB7C33"/>
    <w:rsid w:val="00DC08F0"/>
    <w:rsid w:val="00DE12B7"/>
    <w:rsid w:val="00DE4A60"/>
    <w:rsid w:val="00DE4A66"/>
    <w:rsid w:val="00DF577A"/>
    <w:rsid w:val="00DF5BE5"/>
    <w:rsid w:val="00E07D93"/>
    <w:rsid w:val="00E166C4"/>
    <w:rsid w:val="00E21E38"/>
    <w:rsid w:val="00E34A23"/>
    <w:rsid w:val="00E36D65"/>
    <w:rsid w:val="00E445D0"/>
    <w:rsid w:val="00E51B4F"/>
    <w:rsid w:val="00E52A24"/>
    <w:rsid w:val="00E530E1"/>
    <w:rsid w:val="00E608C0"/>
    <w:rsid w:val="00E6451E"/>
    <w:rsid w:val="00E65E89"/>
    <w:rsid w:val="00E76973"/>
    <w:rsid w:val="00E92CB3"/>
    <w:rsid w:val="00E936D5"/>
    <w:rsid w:val="00E957AC"/>
    <w:rsid w:val="00E96FD7"/>
    <w:rsid w:val="00EA1FB8"/>
    <w:rsid w:val="00EA2A1E"/>
    <w:rsid w:val="00EA4E5E"/>
    <w:rsid w:val="00EA58C9"/>
    <w:rsid w:val="00EB20CE"/>
    <w:rsid w:val="00EB4CFB"/>
    <w:rsid w:val="00EC1790"/>
    <w:rsid w:val="00ED4EBB"/>
    <w:rsid w:val="00EE589B"/>
    <w:rsid w:val="00EE612C"/>
    <w:rsid w:val="00EF0E0D"/>
    <w:rsid w:val="00EF1830"/>
    <w:rsid w:val="00EF3011"/>
    <w:rsid w:val="00EF58AE"/>
    <w:rsid w:val="00EF59CC"/>
    <w:rsid w:val="00EF713C"/>
    <w:rsid w:val="00F02361"/>
    <w:rsid w:val="00F12764"/>
    <w:rsid w:val="00F24558"/>
    <w:rsid w:val="00F2583F"/>
    <w:rsid w:val="00F436D1"/>
    <w:rsid w:val="00F459D4"/>
    <w:rsid w:val="00F45BD1"/>
    <w:rsid w:val="00F614C9"/>
    <w:rsid w:val="00F65E54"/>
    <w:rsid w:val="00F669C4"/>
    <w:rsid w:val="00F71852"/>
    <w:rsid w:val="00F74B88"/>
    <w:rsid w:val="00F754DA"/>
    <w:rsid w:val="00F91CC4"/>
    <w:rsid w:val="00F93D9D"/>
    <w:rsid w:val="00FA5727"/>
    <w:rsid w:val="00FB45A0"/>
    <w:rsid w:val="00FC0167"/>
    <w:rsid w:val="00FC02DC"/>
    <w:rsid w:val="00FC0484"/>
    <w:rsid w:val="00FD4261"/>
    <w:rsid w:val="00FD4F31"/>
    <w:rsid w:val="00FD7F25"/>
    <w:rsid w:val="00FE1442"/>
    <w:rsid w:val="00FE51A6"/>
    <w:rsid w:val="00FE56B5"/>
    <w:rsid w:val="00FF030C"/>
    <w:rsid w:val="00FF0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8A9"/>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2168A9"/>
  </w:style>
  <w:style w:type="character" w:styleId="Hyperlink">
    <w:name w:val="Hyperlink"/>
    <w:rsid w:val="002168A9"/>
    <w:rPr>
      <w:color w:val="0000FF"/>
      <w:u w:val="single"/>
    </w:rPr>
  </w:style>
  <w:style w:type="paragraph" w:customStyle="1" w:styleId="Endofdocument-Annex">
    <w:name w:val="[End of document - Annex]"/>
    <w:basedOn w:val="Normal"/>
    <w:rsid w:val="002168A9"/>
    <w:pPr>
      <w:ind w:left="5534"/>
    </w:pPr>
  </w:style>
  <w:style w:type="character" w:styleId="CommentReference">
    <w:name w:val="annotation reference"/>
    <w:rsid w:val="002168A9"/>
    <w:rPr>
      <w:sz w:val="16"/>
      <w:szCs w:val="16"/>
    </w:rPr>
  </w:style>
  <w:style w:type="character" w:customStyle="1" w:styleId="CommentTextChar">
    <w:name w:val="Comment Text Char"/>
    <w:link w:val="CommentText"/>
    <w:semiHidden/>
    <w:rsid w:val="002168A9"/>
    <w:rPr>
      <w:rFonts w:ascii="Arial" w:hAnsi="Arial" w:cs="Arial"/>
      <w:sz w:val="18"/>
      <w:lang w:val="en-GB"/>
    </w:rPr>
  </w:style>
  <w:style w:type="character" w:styleId="Emphasis">
    <w:name w:val="Emphasis"/>
    <w:qFormat/>
    <w:rsid w:val="002168A9"/>
    <w:rPr>
      <w:i/>
      <w:iCs/>
    </w:rPr>
  </w:style>
  <w:style w:type="paragraph" w:styleId="BalloonText">
    <w:name w:val="Balloon Text"/>
    <w:basedOn w:val="Normal"/>
    <w:link w:val="BalloonTextChar"/>
    <w:rsid w:val="002168A9"/>
    <w:rPr>
      <w:rFonts w:ascii="Tahoma" w:hAnsi="Tahoma" w:cs="Tahoma"/>
      <w:sz w:val="16"/>
      <w:szCs w:val="16"/>
    </w:rPr>
  </w:style>
  <w:style w:type="character" w:customStyle="1" w:styleId="BalloonTextChar">
    <w:name w:val="Balloon Text Char"/>
    <w:basedOn w:val="DefaultParagraphFont"/>
    <w:link w:val="BalloonText"/>
    <w:rsid w:val="002168A9"/>
    <w:rPr>
      <w:rFonts w:ascii="Tahoma" w:eastAsia="SimSun" w:hAnsi="Tahoma" w:cs="Tahoma"/>
      <w:sz w:val="16"/>
      <w:szCs w:val="16"/>
      <w:lang w:eastAsia="zh-CN"/>
    </w:rPr>
  </w:style>
  <w:style w:type="character" w:styleId="FootnoteReference">
    <w:name w:val="footnote reference"/>
    <w:basedOn w:val="DefaultParagraphFont"/>
    <w:rsid w:val="00030751"/>
    <w:rPr>
      <w:vertAlign w:val="superscript"/>
    </w:rPr>
  </w:style>
  <w:style w:type="paragraph" w:styleId="ListParagraph">
    <w:name w:val="List Paragraph"/>
    <w:basedOn w:val="Normal"/>
    <w:uiPriority w:val="34"/>
    <w:qFormat/>
    <w:rsid w:val="00596A6F"/>
    <w:pPr>
      <w:ind w:left="720"/>
      <w:contextualSpacing/>
    </w:pPr>
  </w:style>
  <w:style w:type="character" w:customStyle="1" w:styleId="FootnoteTextChar">
    <w:name w:val="Footnote Text Char"/>
    <w:basedOn w:val="DefaultParagraphFont"/>
    <w:link w:val="FootnoteText"/>
    <w:semiHidden/>
    <w:rsid w:val="0055638E"/>
    <w:rPr>
      <w:rFonts w:ascii="Arial" w:eastAsia="SimSun" w:hAnsi="Arial" w:cs="Arial"/>
      <w:sz w:val="18"/>
      <w:lang w:eastAsia="zh-CN"/>
    </w:rPr>
  </w:style>
  <w:style w:type="paragraph" w:styleId="CommentSubject">
    <w:name w:val="annotation subject"/>
    <w:basedOn w:val="CommentText"/>
    <w:next w:val="CommentText"/>
    <w:link w:val="CommentSubjectChar"/>
    <w:rsid w:val="00A56BFB"/>
    <w:rPr>
      <w:b/>
      <w:bCs/>
      <w:sz w:val="20"/>
    </w:rPr>
  </w:style>
  <w:style w:type="character" w:customStyle="1" w:styleId="CommentSubjectChar">
    <w:name w:val="Comment Subject Char"/>
    <w:basedOn w:val="CommentTextChar"/>
    <w:link w:val="CommentSubject"/>
    <w:rsid w:val="00A56BFB"/>
    <w:rPr>
      <w:rFonts w:ascii="Arial" w:eastAsia="SimSun" w:hAnsi="Arial" w:cs="Arial"/>
      <w:b/>
      <w:bCs/>
      <w:sz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8A9"/>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2168A9"/>
  </w:style>
  <w:style w:type="character" w:styleId="Hyperlink">
    <w:name w:val="Hyperlink"/>
    <w:rsid w:val="002168A9"/>
    <w:rPr>
      <w:color w:val="0000FF"/>
      <w:u w:val="single"/>
    </w:rPr>
  </w:style>
  <w:style w:type="paragraph" w:customStyle="1" w:styleId="Endofdocument-Annex">
    <w:name w:val="[End of document - Annex]"/>
    <w:basedOn w:val="Normal"/>
    <w:rsid w:val="002168A9"/>
    <w:pPr>
      <w:ind w:left="5534"/>
    </w:pPr>
  </w:style>
  <w:style w:type="character" w:styleId="CommentReference">
    <w:name w:val="annotation reference"/>
    <w:rsid w:val="002168A9"/>
    <w:rPr>
      <w:sz w:val="16"/>
      <w:szCs w:val="16"/>
    </w:rPr>
  </w:style>
  <w:style w:type="character" w:customStyle="1" w:styleId="CommentTextChar">
    <w:name w:val="Comment Text Char"/>
    <w:link w:val="CommentText"/>
    <w:semiHidden/>
    <w:rsid w:val="002168A9"/>
    <w:rPr>
      <w:rFonts w:ascii="Arial" w:hAnsi="Arial" w:cs="Arial"/>
      <w:sz w:val="18"/>
      <w:lang w:val="en-GB"/>
    </w:rPr>
  </w:style>
  <w:style w:type="character" w:styleId="Emphasis">
    <w:name w:val="Emphasis"/>
    <w:qFormat/>
    <w:rsid w:val="002168A9"/>
    <w:rPr>
      <w:i/>
      <w:iCs/>
    </w:rPr>
  </w:style>
  <w:style w:type="paragraph" w:styleId="BalloonText">
    <w:name w:val="Balloon Text"/>
    <w:basedOn w:val="Normal"/>
    <w:link w:val="BalloonTextChar"/>
    <w:rsid w:val="002168A9"/>
    <w:rPr>
      <w:rFonts w:ascii="Tahoma" w:hAnsi="Tahoma" w:cs="Tahoma"/>
      <w:sz w:val="16"/>
      <w:szCs w:val="16"/>
    </w:rPr>
  </w:style>
  <w:style w:type="character" w:customStyle="1" w:styleId="BalloonTextChar">
    <w:name w:val="Balloon Text Char"/>
    <w:basedOn w:val="DefaultParagraphFont"/>
    <w:link w:val="BalloonText"/>
    <w:rsid w:val="002168A9"/>
    <w:rPr>
      <w:rFonts w:ascii="Tahoma" w:eastAsia="SimSun" w:hAnsi="Tahoma" w:cs="Tahoma"/>
      <w:sz w:val="16"/>
      <w:szCs w:val="16"/>
      <w:lang w:eastAsia="zh-CN"/>
    </w:rPr>
  </w:style>
  <w:style w:type="character" w:styleId="FootnoteReference">
    <w:name w:val="footnote reference"/>
    <w:basedOn w:val="DefaultParagraphFont"/>
    <w:rsid w:val="00030751"/>
    <w:rPr>
      <w:vertAlign w:val="superscript"/>
    </w:rPr>
  </w:style>
  <w:style w:type="paragraph" w:styleId="ListParagraph">
    <w:name w:val="List Paragraph"/>
    <w:basedOn w:val="Normal"/>
    <w:uiPriority w:val="34"/>
    <w:qFormat/>
    <w:rsid w:val="00596A6F"/>
    <w:pPr>
      <w:ind w:left="720"/>
      <w:contextualSpacing/>
    </w:pPr>
  </w:style>
  <w:style w:type="character" w:customStyle="1" w:styleId="FootnoteTextChar">
    <w:name w:val="Footnote Text Char"/>
    <w:basedOn w:val="DefaultParagraphFont"/>
    <w:link w:val="FootnoteText"/>
    <w:semiHidden/>
    <w:rsid w:val="0055638E"/>
    <w:rPr>
      <w:rFonts w:ascii="Arial" w:eastAsia="SimSun" w:hAnsi="Arial" w:cs="Arial"/>
      <w:sz w:val="18"/>
      <w:lang w:eastAsia="zh-CN"/>
    </w:rPr>
  </w:style>
  <w:style w:type="paragraph" w:styleId="CommentSubject">
    <w:name w:val="annotation subject"/>
    <w:basedOn w:val="CommentText"/>
    <w:next w:val="CommentText"/>
    <w:link w:val="CommentSubjectChar"/>
    <w:rsid w:val="00A56BFB"/>
    <w:rPr>
      <w:b/>
      <w:bCs/>
      <w:sz w:val="20"/>
    </w:rPr>
  </w:style>
  <w:style w:type="character" w:customStyle="1" w:styleId="CommentSubjectChar">
    <w:name w:val="Comment Subject Char"/>
    <w:basedOn w:val="CommentTextChar"/>
    <w:link w:val="CommentSubject"/>
    <w:rsid w:val="00A56BFB"/>
    <w:rPr>
      <w:rFonts w:ascii="Arial" w:eastAsia="SimSun" w:hAnsi="Arial" w:cs="Arial"/>
      <w:b/>
      <w:bCs/>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3B225-B428-49A4-A285-8669F522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1968</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CHEUNG Kam Sum Oliver</dc:creator>
  <cp:lastModifiedBy>CLEAVELEY-MAILLARD Amber</cp:lastModifiedBy>
  <cp:revision>18</cp:revision>
  <cp:lastPrinted>2014-12-04T10:03:00Z</cp:lastPrinted>
  <dcterms:created xsi:type="dcterms:W3CDTF">2014-11-10T14:37:00Z</dcterms:created>
  <dcterms:modified xsi:type="dcterms:W3CDTF">2014-12-04T10:04:00Z</dcterms:modified>
</cp:coreProperties>
</file>