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7C3B" w14:textId="3F82D143" w:rsidR="008B2CC1" w:rsidRPr="00F043DE" w:rsidRDefault="00FC678A" w:rsidP="00A8389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7EB63847" wp14:editId="2F99FD3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C464" w14:textId="77777777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 xml:space="preserve">INF/2 </w:t>
      </w:r>
    </w:p>
    <w:p w14:paraId="498D0BD1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30B2273" w14:textId="0603EBEC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3A6AE5">
        <w:rPr>
          <w:rFonts w:ascii="Arial Black" w:hAnsi="Arial Black"/>
          <w:caps/>
          <w:sz w:val="15"/>
        </w:rPr>
        <w:t>6</w:t>
      </w:r>
      <w:bookmarkStart w:id="3" w:name="_GoBack"/>
      <w:bookmarkEnd w:id="3"/>
      <w:r>
        <w:rPr>
          <w:rFonts w:ascii="Arial Black" w:hAnsi="Arial Black"/>
          <w:caps/>
          <w:sz w:val="15"/>
        </w:rPr>
        <w:t xml:space="preserve"> СЕНТЯБРЯ 2023 ГОДА</w:t>
      </w:r>
    </w:p>
    <w:bookmarkEnd w:id="2"/>
    <w:p w14:paraId="1D35613C" w14:textId="77777777" w:rsidR="008B2CC1" w:rsidRPr="00720EFD" w:rsidRDefault="00E41552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3DFEAE7" w14:textId="77777777" w:rsidR="008B2CC1" w:rsidRDefault="00EB76CE" w:rsidP="00A766B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 года</w:t>
      </w:r>
    </w:p>
    <w:p w14:paraId="60436AEB" w14:textId="7D444CBD" w:rsidR="001673B1" w:rsidRPr="007D1D9E" w:rsidRDefault="001673B1" w:rsidP="00C408FA">
      <w:pPr>
        <w:spacing w:after="360"/>
        <w:outlineLvl w:val="1"/>
        <w:rPr>
          <w:b/>
          <w:sz w:val="24"/>
          <w:szCs w:val="24"/>
        </w:rPr>
      </w:pPr>
      <w:r>
        <w:rPr>
          <w:sz w:val="24"/>
        </w:rPr>
        <w:t>РЕЗЮМЕ ПРАКТИЧЕСКОГО РУКОВОДСТВА ВОИС ПОД НАЗВАНИЕМ «К</w:t>
      </w:r>
      <w:r w:rsidR="00A4154D">
        <w:rPr>
          <w:sz w:val="24"/>
        </w:rPr>
        <w:t> </w:t>
      </w:r>
      <w:r>
        <w:rPr>
          <w:sz w:val="24"/>
        </w:rPr>
        <w:t xml:space="preserve">ВОПРОСУ </w:t>
      </w:r>
      <w:r w:rsidR="006B7EB0">
        <w:rPr>
          <w:sz w:val="24"/>
        </w:rPr>
        <w:t xml:space="preserve">О </w:t>
      </w:r>
      <w:r>
        <w:rPr>
          <w:sz w:val="24"/>
        </w:rPr>
        <w:t>ТВОРЧЕСТВ</w:t>
      </w:r>
      <w:r w:rsidR="006B7EB0">
        <w:rPr>
          <w:sz w:val="24"/>
        </w:rPr>
        <w:t>Е</w:t>
      </w:r>
      <w:r>
        <w:rPr>
          <w:sz w:val="24"/>
        </w:rPr>
        <w:t>: АВТОРСКОЕ ПРАВО ДЛЯ СПЕЦИАЛИСТОВ В ОБЛАСТИ АНИМАЦИИ. УЧЕБНОЕ ПОСОБИЕ»</w:t>
      </w:r>
      <w:r>
        <w:t xml:space="preserve"> </w:t>
      </w:r>
    </w:p>
    <w:p w14:paraId="1569B2C2" w14:textId="77777777" w:rsidR="001673B1" w:rsidRPr="00D115FB" w:rsidRDefault="001673B1" w:rsidP="00D115FB">
      <w:pPr>
        <w:spacing w:after="960"/>
        <w:rPr>
          <w:i/>
        </w:rPr>
      </w:pPr>
      <w:bookmarkStart w:id="4" w:name="TitleOfDoc"/>
      <w:r>
        <w:rPr>
          <w:i/>
        </w:rPr>
        <w:t>подготовлено Робом Х. Афтом</w:t>
      </w:r>
    </w:p>
    <w:p w14:paraId="12FB79D9" w14:textId="107782C8" w:rsidR="001673B1" w:rsidRPr="000A5724" w:rsidRDefault="001673B1" w:rsidP="001673B1">
      <w:pPr>
        <w:spacing w:after="360"/>
        <w:rPr>
          <w:rFonts w:eastAsia="MS Mincho"/>
          <w:bCs/>
          <w:iCs/>
          <w:szCs w:val="22"/>
        </w:rPr>
      </w:pPr>
      <w:r w:rsidRPr="000A5724">
        <w:rPr>
          <w:rFonts w:eastAsia="Times New Roman"/>
          <w:color w:val="000000"/>
        </w:rPr>
        <w:fldChar w:fldCharType="begin"/>
      </w:r>
      <w:r w:rsidRPr="000A5724">
        <w:rPr>
          <w:rFonts w:eastAsia="Times New Roman"/>
          <w:color w:val="000000"/>
        </w:rPr>
        <w:instrText xml:space="preserve"> AUTONUM  </w:instrText>
      </w:r>
      <w:r w:rsidRPr="000A5724">
        <w:rPr>
          <w:rFonts w:eastAsia="Times New Roman"/>
          <w:color w:val="000000"/>
        </w:rPr>
        <w:fldChar w:fldCharType="end"/>
      </w:r>
      <w:r>
        <w:t xml:space="preserve"> В приложении к настоящему документу содержится резюме практического руководства ВОИС под названием «К вопросу </w:t>
      </w:r>
      <w:r w:rsidR="008739FB">
        <w:t xml:space="preserve">о </w:t>
      </w:r>
      <w:r>
        <w:t>творчеств</w:t>
      </w:r>
      <w:r w:rsidR="008739FB">
        <w:t>е</w:t>
      </w:r>
      <w:r>
        <w:t xml:space="preserve">: авторское право для специалистов в области анимации. Учебное пособие». </w:t>
      </w:r>
    </w:p>
    <w:p w14:paraId="547E243E" w14:textId="461356AD" w:rsidR="001673B1" w:rsidRPr="00303A96" w:rsidRDefault="001673B1" w:rsidP="001673B1">
      <w:pPr>
        <w:spacing w:after="360"/>
        <w:rPr>
          <w:rFonts w:eastAsia="MS Mincho"/>
          <w:bCs/>
          <w:iCs/>
          <w:szCs w:val="22"/>
        </w:rPr>
      </w:pPr>
      <w:r w:rsidRPr="000A5724">
        <w:rPr>
          <w:rFonts w:eastAsia="MS Mincho"/>
        </w:rPr>
        <w:fldChar w:fldCharType="begin"/>
      </w:r>
      <w:r w:rsidRPr="000A5724">
        <w:rPr>
          <w:rFonts w:eastAsia="MS Mincho"/>
        </w:rPr>
        <w:instrText xml:space="preserve"> AUTONUM  </w:instrText>
      </w:r>
      <w:r w:rsidRPr="000A5724">
        <w:rPr>
          <w:rFonts w:eastAsia="MS Mincho"/>
        </w:rPr>
        <w:fldChar w:fldCharType="end"/>
      </w:r>
      <w:r>
        <w:tab/>
        <w:t>Данное практическое руководство было разработано в рамках проекта Повестки дня в области развития (ПДР)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Уругвае» (документ CDIP/26/5). Оно было подготовлено г-ном Робом Х. Афтом, президентом компании «Комплайенс консалтинг», Лос-Анджелес, Калифорния, Соединенные Штаты Америки.</w:t>
      </w:r>
    </w:p>
    <w:p w14:paraId="06413106" w14:textId="77777777" w:rsidR="001673B1" w:rsidRPr="000A5724" w:rsidRDefault="001673B1" w:rsidP="00C408FA">
      <w:pPr>
        <w:spacing w:after="720"/>
        <w:ind w:left="5530"/>
        <w:rPr>
          <w:rFonts w:eastAsia="MS Mincho"/>
          <w:bCs/>
          <w:iCs/>
          <w:szCs w:val="22"/>
        </w:rPr>
      </w:pPr>
      <w:r w:rsidRPr="000A5724">
        <w:rPr>
          <w:rFonts w:eastAsia="MS Mincho"/>
          <w:i/>
        </w:rPr>
        <w:fldChar w:fldCharType="begin"/>
      </w:r>
      <w:r w:rsidRPr="000A5724">
        <w:rPr>
          <w:rFonts w:eastAsia="MS Mincho"/>
          <w:i/>
        </w:rPr>
        <w:instrText xml:space="preserve"> AUTONUM  </w:instrText>
      </w:r>
      <w:r w:rsidRPr="000A5724">
        <w:rPr>
          <w:rFonts w:eastAsia="MS Mincho"/>
          <w:i/>
        </w:rPr>
        <w:fldChar w:fldCharType="end"/>
      </w:r>
      <w:r>
        <w:tab/>
      </w:r>
      <w:r>
        <w:rPr>
          <w:i/>
          <w:iCs/>
        </w:rPr>
        <w:t>Комитету предлагается принять к сведению информацию, содержащуюся в приложении к настоящему документу.</w:t>
      </w:r>
    </w:p>
    <w:p w14:paraId="0E026622" w14:textId="77777777" w:rsidR="000D3411" w:rsidRDefault="001673B1" w:rsidP="00BE2CA0">
      <w:pPr>
        <w:ind w:left="5533"/>
        <w:sectPr w:rsidR="000D3411" w:rsidSect="000D3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lastRenderedPageBreak/>
        <w:t>[Приложение следует]</w:t>
      </w:r>
      <w:bookmarkStart w:id="5" w:name="Prepared"/>
      <w:bookmarkEnd w:id="4"/>
      <w:bookmarkEnd w:id="5"/>
      <w:r>
        <w:br w:type="page"/>
      </w:r>
    </w:p>
    <w:p w14:paraId="76EC498B" w14:textId="18AD4800" w:rsidR="000D3411" w:rsidRPr="00281F20" w:rsidRDefault="000D3411" w:rsidP="00281F20">
      <w:pPr>
        <w:pStyle w:val="Heading2"/>
        <w:spacing w:before="120" w:after="0"/>
        <w:jc w:val="center"/>
        <w:rPr>
          <w:b/>
        </w:rPr>
      </w:pPr>
      <w:r>
        <w:rPr>
          <w:b/>
        </w:rPr>
        <w:lastRenderedPageBreak/>
        <w:t xml:space="preserve">К вопросу </w:t>
      </w:r>
      <w:r w:rsidR="0034212E">
        <w:rPr>
          <w:b/>
        </w:rPr>
        <w:t xml:space="preserve">о </w:t>
      </w:r>
      <w:r>
        <w:rPr>
          <w:b/>
        </w:rPr>
        <w:t>творчеств</w:t>
      </w:r>
      <w:r w:rsidR="0034212E">
        <w:rPr>
          <w:b/>
        </w:rPr>
        <w:t>е</w:t>
      </w:r>
      <w:r>
        <w:rPr>
          <w:b/>
        </w:rPr>
        <w:t xml:space="preserve">: </w:t>
      </w:r>
      <w:r w:rsidRPr="00281F20">
        <w:rPr>
          <w:b/>
        </w:rPr>
        <w:t>авторское право для специалистов в области анимации. Учебное пособие</w:t>
      </w:r>
    </w:p>
    <w:p w14:paraId="330D790E" w14:textId="273979C3" w:rsidR="00281F20" w:rsidRPr="00281F20" w:rsidRDefault="00BE2CA0" w:rsidP="00281F20">
      <w:pPr>
        <w:pStyle w:val="Heading2"/>
        <w:spacing w:before="120" w:after="360"/>
        <w:jc w:val="center"/>
        <w:rPr>
          <w:b/>
          <w:caps w:val="0"/>
        </w:rPr>
      </w:pPr>
      <w:r>
        <w:rPr>
          <w:b/>
          <w:caps w:val="0"/>
        </w:rPr>
        <w:t>Резюме</w:t>
      </w:r>
    </w:p>
    <w:p w14:paraId="4231D259" w14:textId="0DFA0004" w:rsidR="000D3411" w:rsidRPr="00EC59D1" w:rsidRDefault="000D3411" w:rsidP="000D3411">
      <w:pPr>
        <w:rPr>
          <w:i/>
          <w:iCs/>
          <w:color w:val="2B2C28"/>
          <w:szCs w:val="22"/>
        </w:rPr>
      </w:pPr>
      <w:r>
        <w:rPr>
          <w:i/>
          <w:color w:val="2B2C28"/>
        </w:rPr>
        <w:t>Анимация является средством повествования и визуального развлечения, которое может</w:t>
      </w:r>
      <w:r w:rsidR="00177AF7">
        <w:rPr>
          <w:i/>
          <w:color w:val="2B2C28"/>
        </w:rPr>
        <w:t xml:space="preserve"> быть приятным и информативным для людей </w:t>
      </w:r>
      <w:r>
        <w:rPr>
          <w:i/>
          <w:color w:val="2B2C28"/>
        </w:rPr>
        <w:t>всех возрастов по всему миру. </w:t>
      </w:r>
    </w:p>
    <w:p w14:paraId="0C5F6A11" w14:textId="77777777" w:rsidR="000D3411" w:rsidRPr="00EC59D1" w:rsidRDefault="000D3411" w:rsidP="00FF7654">
      <w:pPr>
        <w:pStyle w:val="ListParagraph"/>
        <w:spacing w:after="360"/>
        <w:ind w:left="6840"/>
        <w:rPr>
          <w:rFonts w:ascii="Arial" w:hAnsi="Arial" w:cs="Arial"/>
          <w:i/>
          <w:iCs/>
          <w:color w:val="2B2C28"/>
        </w:rPr>
      </w:pPr>
      <w:r>
        <w:rPr>
          <w:rFonts w:ascii="Arial" w:hAnsi="Arial"/>
          <w:i/>
          <w:color w:val="2B2C28"/>
        </w:rPr>
        <w:t>Уолт Дисней</w:t>
      </w:r>
    </w:p>
    <w:p w14:paraId="4374B776" w14:textId="3C45B5E0" w:rsidR="000D3411" w:rsidRPr="00EC59D1" w:rsidRDefault="000D3411" w:rsidP="000D3411">
      <w:pPr>
        <w:spacing w:after="360"/>
        <w:rPr>
          <w:szCs w:val="22"/>
          <w:shd w:val="clear" w:color="auto" w:fill="FFFFFF"/>
        </w:rPr>
      </w:pPr>
      <w:r>
        <w:t>Когда Уолт Дисней писал эти слова, в процессе создания анимационных фильмов</w:t>
      </w:r>
      <w:r w:rsidR="00E1456C">
        <w:t xml:space="preserve"> на его студии</w:t>
      </w:r>
      <w:r>
        <w:t xml:space="preserve"> были задействованы сотни </w:t>
      </w:r>
      <w:r w:rsidR="00E1456C">
        <w:t>сотрудников</w:t>
      </w:r>
      <w:r>
        <w:t xml:space="preserve">, в основном женщин, которые рисовали тысячи </w:t>
      </w:r>
      <w:r w:rsidR="00763C30">
        <w:t>кадров</w:t>
      </w:r>
      <w:r>
        <w:t xml:space="preserve"> вручную при помощи карандашей и красок, занимались трудоемкой записью диалогов и часто приглашали целые оркестры для музыкального сопровождения. Распространение фильма </w:t>
      </w:r>
      <w:r w:rsidR="00CC01C7">
        <w:t>заключалось в</w:t>
      </w:r>
      <w:r>
        <w:t xml:space="preserve"> его показ</w:t>
      </w:r>
      <w:r w:rsidR="00CC01C7">
        <w:t>е</w:t>
      </w:r>
      <w:r>
        <w:t xml:space="preserve"> на пленке шириной 35 мм в кинотеатре. </w:t>
      </w:r>
      <w:r w:rsidR="00B615AE">
        <w:t>Создание анимационных фильмов требовало больших затрат</w:t>
      </w:r>
      <w:r>
        <w:t xml:space="preserve">, а </w:t>
      </w:r>
      <w:r w:rsidR="00177AF7">
        <w:t xml:space="preserve">выполнять такую работу можно было далеко не везде. </w:t>
      </w:r>
      <w:r>
        <w:t>Сценаристы, разработчики персонажей, художники, музыканты и актеры озвуч</w:t>
      </w:r>
      <w:r w:rsidR="00907852">
        <w:t>ивания</w:t>
      </w:r>
      <w:r>
        <w:t xml:space="preserve"> предоставляли свои творческие услуги в </w:t>
      </w:r>
      <w:r w:rsidR="00907852">
        <w:t>форме</w:t>
      </w:r>
      <w:r>
        <w:t xml:space="preserve"> работы по найму: они не </w:t>
      </w:r>
      <w:r w:rsidR="001A0D2F">
        <w:t>могли контролировать</w:t>
      </w:r>
      <w:r>
        <w:t xml:space="preserve"> результат</w:t>
      </w:r>
      <w:r w:rsidR="001A0D2F">
        <w:t>ы</w:t>
      </w:r>
      <w:r>
        <w:t xml:space="preserve"> своего труда и не были финансово в них заинтересованы. С тех пор в анимационной отрасли многое изменилось как в техническом, так и в правовом плане, </w:t>
      </w:r>
      <w:r w:rsidR="00D94DA5">
        <w:t>благодаря чему</w:t>
      </w:r>
      <w:r>
        <w:t xml:space="preserve"> авторы </w:t>
      </w:r>
      <w:r w:rsidR="00D94DA5">
        <w:t xml:space="preserve">теперь </w:t>
      </w:r>
      <w:r>
        <w:t xml:space="preserve">в большей степени могут контролировать использование своих работ при </w:t>
      </w:r>
      <w:r w:rsidR="00A9628A">
        <w:t xml:space="preserve">условии </w:t>
      </w:r>
      <w:r>
        <w:t>соблюдени</w:t>
      </w:r>
      <w:r w:rsidR="00A9628A">
        <w:t>я</w:t>
      </w:r>
      <w:r>
        <w:t xml:space="preserve"> местных нормативно-правовых актов </w:t>
      </w:r>
      <w:r w:rsidR="006835BA">
        <w:t xml:space="preserve">в </w:t>
      </w:r>
      <w:r>
        <w:t>181 стран</w:t>
      </w:r>
      <w:r w:rsidR="006835BA">
        <w:t>е</w:t>
      </w:r>
      <w:r>
        <w:t xml:space="preserve">, подписавшей </w:t>
      </w:r>
      <w:hyperlink r:id="rId15" w:history="1">
        <w:r>
          <w:rPr>
            <w:rStyle w:val="Hyperlink"/>
            <w:shd w:val="clear" w:color="auto" w:fill="FFFFFF"/>
          </w:rPr>
          <w:t>Бернскую конвенцию</w:t>
        </w:r>
      </w:hyperlink>
      <w:r>
        <w:rPr>
          <w:color w:val="524E4E"/>
          <w:shd w:val="clear" w:color="auto" w:fill="FFFFFF"/>
        </w:rPr>
        <w:t xml:space="preserve"> </w:t>
      </w:r>
      <w:r>
        <w:rPr>
          <w:shd w:val="clear" w:color="auto" w:fill="FFFFFF"/>
        </w:rPr>
        <w:t>по охране литературных и художественных произведений.</w:t>
      </w:r>
    </w:p>
    <w:p w14:paraId="6FAF06ED" w14:textId="77777777" w:rsidR="000D3411" w:rsidRPr="000D3411" w:rsidRDefault="000D3411" w:rsidP="000D3411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СОЗДАНИЕ АНИМАЦИОННЫХ ФИЛЬМОВ — ЭТО БИЗНЕС, ОСНОВАННЫЙ НА ИНТЕЛЛЕКТУАЛЬНОЙ СОБСТВЕННОСТИ</w:t>
      </w:r>
    </w:p>
    <w:p w14:paraId="28A9A2DE" w14:textId="412BFDCB" w:rsidR="000D3411" w:rsidRPr="00EC59D1" w:rsidRDefault="000D3411" w:rsidP="00877D3A">
      <w:pPr>
        <w:pStyle w:val="NormalBODYTEXT"/>
        <w:spacing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Благодаря </w:t>
      </w:r>
      <w:r w:rsidR="00037A00">
        <w:rPr>
          <w:rFonts w:ascii="Arial" w:hAnsi="Arial"/>
          <w:sz w:val="22"/>
        </w:rPr>
        <w:t xml:space="preserve">настоящему </w:t>
      </w:r>
      <w:r>
        <w:rPr>
          <w:rFonts w:ascii="Arial" w:hAnsi="Arial"/>
          <w:sz w:val="22"/>
        </w:rPr>
        <w:t xml:space="preserve">практическому руководству начинающие </w:t>
      </w:r>
      <w:r w:rsidR="00250DA0">
        <w:rPr>
          <w:rFonts w:ascii="Arial" w:hAnsi="Arial"/>
          <w:sz w:val="22"/>
        </w:rPr>
        <w:t>специалисты</w:t>
      </w:r>
      <w:r>
        <w:rPr>
          <w:rFonts w:ascii="Arial" w:hAnsi="Arial"/>
          <w:sz w:val="22"/>
        </w:rPr>
        <w:t xml:space="preserve"> анимационной отрасли узнают о вопросах, </w:t>
      </w:r>
      <w:r w:rsidR="0056264D">
        <w:rPr>
          <w:rFonts w:ascii="Arial" w:hAnsi="Arial"/>
          <w:sz w:val="22"/>
        </w:rPr>
        <w:t>касающихся</w:t>
      </w:r>
      <w:r>
        <w:rPr>
          <w:rFonts w:ascii="Arial" w:hAnsi="Arial"/>
          <w:sz w:val="22"/>
        </w:rPr>
        <w:t xml:space="preserve"> производств</w:t>
      </w:r>
      <w:r w:rsidR="0056264D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, прав</w:t>
      </w:r>
      <w:r w:rsidR="0056264D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и деловой деятельност</w:t>
      </w:r>
      <w:r w:rsidR="0056264D"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, </w:t>
      </w:r>
      <w:r w:rsidR="00EA63D6">
        <w:rPr>
          <w:rFonts w:ascii="Arial" w:hAnsi="Arial"/>
          <w:sz w:val="22"/>
        </w:rPr>
        <w:t xml:space="preserve">которые </w:t>
      </w:r>
      <w:r>
        <w:rPr>
          <w:rFonts w:ascii="Arial" w:hAnsi="Arial"/>
          <w:sz w:val="22"/>
        </w:rPr>
        <w:t xml:space="preserve">важны для участия в современном хорошо организованном глобальном рынке анимационных фильмов, телепередач, онлайнового и образовательного контента. Авторское право играет </w:t>
      </w:r>
      <w:r w:rsidR="005B225B">
        <w:rPr>
          <w:rFonts w:ascii="Arial" w:hAnsi="Arial"/>
          <w:sz w:val="22"/>
        </w:rPr>
        <w:t>основополагающую</w:t>
      </w:r>
      <w:r>
        <w:rPr>
          <w:rFonts w:ascii="Arial" w:hAnsi="Arial"/>
          <w:sz w:val="22"/>
        </w:rPr>
        <w:t xml:space="preserve"> роль во всех этих вопросах</w:t>
      </w:r>
      <w:r w:rsidR="00320E93">
        <w:rPr>
          <w:rFonts w:ascii="Arial" w:hAnsi="Arial"/>
          <w:sz w:val="22"/>
        </w:rPr>
        <w:t xml:space="preserve"> и подчеркивает текущие </w:t>
      </w:r>
      <w:r>
        <w:rPr>
          <w:rFonts w:ascii="Arial" w:hAnsi="Arial"/>
          <w:sz w:val="22"/>
        </w:rPr>
        <w:t>стандарты и принципы</w:t>
      </w:r>
      <w:r w:rsidR="00320E93">
        <w:rPr>
          <w:rFonts w:ascii="Arial" w:hAnsi="Arial"/>
          <w:sz w:val="22"/>
        </w:rPr>
        <w:t>, которые</w:t>
      </w:r>
      <w:r>
        <w:rPr>
          <w:rFonts w:ascii="Arial" w:hAnsi="Arial"/>
          <w:sz w:val="22"/>
        </w:rPr>
        <w:t xml:space="preserve"> соблюдаются и реализуются в анимационной отрасли на международном уровне. Читателям следует обратиться к местным экспертам в отрасли</w:t>
      </w:r>
      <w:r w:rsidR="00B77908">
        <w:rPr>
          <w:rFonts w:ascii="Arial" w:hAnsi="Arial"/>
          <w:sz w:val="22"/>
        </w:rPr>
        <w:t>, чтобы получить более</w:t>
      </w:r>
      <w:r>
        <w:rPr>
          <w:rFonts w:ascii="Arial" w:hAnsi="Arial"/>
          <w:sz w:val="22"/>
        </w:rPr>
        <w:t xml:space="preserve"> полно</w:t>
      </w:r>
      <w:r w:rsidR="00B77908">
        <w:rPr>
          <w:rFonts w:ascii="Arial" w:hAnsi="Arial"/>
          <w:sz w:val="22"/>
        </w:rPr>
        <w:t>е представление о том</w:t>
      </w:r>
      <w:r>
        <w:rPr>
          <w:rFonts w:ascii="Arial" w:hAnsi="Arial"/>
          <w:sz w:val="22"/>
        </w:rPr>
        <w:t>, как эти вопросы решаются в соответствующих странах.</w:t>
      </w:r>
    </w:p>
    <w:p w14:paraId="0ED9E05D" w14:textId="6AEC4B46" w:rsidR="000D3411" w:rsidRPr="00EC59D1" w:rsidRDefault="000D3411" w:rsidP="00617EFC">
      <w:pPr>
        <w:spacing w:after="240"/>
        <w:rPr>
          <w:szCs w:val="22"/>
        </w:rPr>
      </w:pPr>
      <w:r>
        <w:t xml:space="preserve">Понимание и применение </w:t>
      </w:r>
      <w:r w:rsidR="00D56E8A">
        <w:t>бизнес-</w:t>
      </w:r>
      <w:r>
        <w:t xml:space="preserve">концепций, а также соблюдение этических норм </w:t>
      </w:r>
      <w:r w:rsidR="00F6684C">
        <w:t>имеет первостепенное значение</w:t>
      </w:r>
      <w:r>
        <w:t xml:space="preserve"> для профессионального признания в анимационной отрасли. Это включает в себя соблюдение местных законов, касающихся учреждения компаний, налогов, трудоустройства, передачи авторского права, денежных переводов и, возможно самое важное, местных традиций в отношении порядочного делового поведения. Оно подразумевает должного</w:t>
      </w:r>
      <w:r w:rsidR="0064472A">
        <w:t xml:space="preserve"> ведения</w:t>
      </w:r>
      <w:r>
        <w:t xml:space="preserve"> бухгалтерского учета, своевременную оплату счетов и содействие укреплению анимационного сообщества путем обучения, участия государства и использование схожих методик из других отраслей для того, чтобы </w:t>
      </w:r>
      <w:r w:rsidR="00CE4004">
        <w:t>статьи уважаемыми и важными игроками</w:t>
      </w:r>
      <w:r>
        <w:t xml:space="preserve"> в экономике страны.</w:t>
      </w:r>
    </w:p>
    <w:p w14:paraId="57810EB9" w14:textId="481B967C" w:rsidR="000D3411" w:rsidRDefault="000D3411" w:rsidP="000D3411">
      <w:pPr>
        <w:spacing w:after="360"/>
      </w:pPr>
      <w:r>
        <w:t xml:space="preserve">Правовая и договорная практика может разниться от юрисдикции к юрисдикции: в некоторых странах нормой является участие юристов и </w:t>
      </w:r>
      <w:r w:rsidR="00BD7C9E">
        <w:t>заключение</w:t>
      </w:r>
      <w:r>
        <w:t xml:space="preserve"> соглашений в письменной форме, в других большую роль играют личные отношения и устные договоренности. Вне зависимости от страны все операции в области авторского права </w:t>
      </w:r>
      <w:r w:rsidR="00B666E6">
        <w:t>становятся действительными только после</w:t>
      </w:r>
      <w:r w:rsidR="006E29A4">
        <w:t xml:space="preserve"> их</w:t>
      </w:r>
      <w:r w:rsidR="00B666E6">
        <w:t xml:space="preserve"> закрепления </w:t>
      </w:r>
      <w:r>
        <w:t xml:space="preserve">в письменной форме. В некоторых странах доступны государственные субсидии и поддержка, в других такая помощь отсутствует. При использовании рекомендаций из практического руководства </w:t>
      </w:r>
      <w:r>
        <w:lastRenderedPageBreak/>
        <w:t xml:space="preserve">следует принимать во внимание вопросы распространения, производственный бюджет, экспортный потенциал и целый ряд других местных факторов. </w:t>
      </w:r>
    </w:p>
    <w:p w14:paraId="0D1EBF3A" w14:textId="77777777" w:rsidR="000D3411" w:rsidRPr="000D3411" w:rsidRDefault="000D3411" w:rsidP="000D3411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АНИМАЦИЯ — ЭТО ПОПУЛЯРНЫЙ И ВСЕ БОЛЕЕ ЭКОНОМИЧЕСКИ ВЫГОДНЫЙ СПОСОБ СОЗДАНИЯ КОНТЕНТА</w:t>
      </w:r>
    </w:p>
    <w:p w14:paraId="6F9ADCC0" w14:textId="33DBE5CF" w:rsidR="000D3411" w:rsidRPr="0017301A" w:rsidRDefault="000D2AD4" w:rsidP="000D3411">
      <w:pPr>
        <w:spacing w:after="240"/>
        <w:rPr>
          <w:szCs w:val="22"/>
        </w:rPr>
      </w:pPr>
      <w:r>
        <w:t>Благодаря р</w:t>
      </w:r>
      <w:r w:rsidR="000D3411">
        <w:t>езко</w:t>
      </w:r>
      <w:r>
        <w:t>му</w:t>
      </w:r>
      <w:r w:rsidR="000D3411">
        <w:t xml:space="preserve"> снижени</w:t>
      </w:r>
      <w:r>
        <w:t>ю</w:t>
      </w:r>
      <w:r w:rsidR="000D3411">
        <w:t xml:space="preserve"> технических расходов на создание анимационных фильмов кажд</w:t>
      </w:r>
      <w:r>
        <w:t>ый</w:t>
      </w:r>
      <w:r w:rsidR="000D3411">
        <w:t>, у кого есть мобильны</w:t>
      </w:r>
      <w:r>
        <w:t>й</w:t>
      </w:r>
      <w:r w:rsidR="000D3411">
        <w:t xml:space="preserve"> телефон или компьютер, </w:t>
      </w:r>
      <w:r>
        <w:t xml:space="preserve">может </w:t>
      </w:r>
      <w:r w:rsidR="000D3411">
        <w:t xml:space="preserve">снимать собственные </w:t>
      </w:r>
      <w:r>
        <w:t>видео</w:t>
      </w:r>
      <w:r w:rsidR="000D3411">
        <w:t>ролики. Одновременно</w:t>
      </w:r>
      <w:r w:rsidR="00ED4730">
        <w:t xml:space="preserve"> с этим</w:t>
      </w:r>
      <w:r w:rsidR="000D3411">
        <w:t xml:space="preserve"> расширение возможностей распространения привело к </w:t>
      </w:r>
      <w:r w:rsidR="00EB5C6F">
        <w:t>формированию</w:t>
      </w:r>
      <w:r w:rsidR="000D3411">
        <w:t xml:space="preserve"> глобального рынка</w:t>
      </w:r>
      <w:r w:rsidR="00A76CEB">
        <w:t>, который стал доступен для местных авторов.</w:t>
      </w:r>
      <w:r w:rsidR="000D3411">
        <w:t xml:space="preserve"> Однако в реальной творческой работе — разработке персонажей, написании сценариев и музыки, а также озвуч</w:t>
      </w:r>
      <w:r w:rsidR="00B06C0D">
        <w:t>ивании</w:t>
      </w:r>
      <w:r w:rsidR="00A76CEB">
        <w:t xml:space="preserve"> — произошло относительно мало изменений</w:t>
      </w:r>
      <w:r w:rsidR="000D3411">
        <w:t xml:space="preserve">. Для большинства практиков барьером для входа </w:t>
      </w:r>
      <w:r w:rsidR="00ED4730">
        <w:t xml:space="preserve">на рынок анимации </w:t>
      </w:r>
      <w:r w:rsidR="000D3411">
        <w:t xml:space="preserve">была не сама творческая работа, а скорее стоимость производства и отсутствие возможностей распространения. Понимание прав собственности и лицензирования </w:t>
      </w:r>
      <w:r w:rsidR="000D3411">
        <w:rPr>
          <w:i/>
          <w:iCs/>
        </w:rPr>
        <w:t xml:space="preserve">оригинальных авторских произведений (которые, возможно, необходимо зафиксировать в определенной форме в зависимости от юрисдикции) — </w:t>
      </w:r>
      <w:r w:rsidR="000D3411">
        <w:t xml:space="preserve">это первый шаг к получению доступа к рынкам, будь то </w:t>
      </w:r>
      <w:r w:rsidR="00AE0A33">
        <w:t xml:space="preserve">через </w:t>
      </w:r>
      <w:r w:rsidR="000D3411">
        <w:t xml:space="preserve">кинотеатры, </w:t>
      </w:r>
      <w:r w:rsidR="00AE0A33">
        <w:t>международные</w:t>
      </w:r>
      <w:r w:rsidR="000D3411">
        <w:t xml:space="preserve"> стриминговые сервисы, местные телетрансляции или любые другие будущие технологии. </w:t>
      </w:r>
    </w:p>
    <w:p w14:paraId="231392EF" w14:textId="2ACE8CCF" w:rsidR="000D3411" w:rsidRPr="0017301A" w:rsidRDefault="000D3411" w:rsidP="000D3411">
      <w:pPr>
        <w:spacing w:after="360"/>
        <w:rPr>
          <w:szCs w:val="22"/>
        </w:rPr>
      </w:pPr>
      <w:r>
        <w:t xml:space="preserve">По мере снижения стоимости </w:t>
      </w:r>
      <w:r w:rsidR="00913862">
        <w:t xml:space="preserve">жители </w:t>
      </w:r>
      <w:r>
        <w:t>многи</w:t>
      </w:r>
      <w:r w:rsidR="00913862">
        <w:t>х</w:t>
      </w:r>
      <w:r>
        <w:t xml:space="preserve"> регион</w:t>
      </w:r>
      <w:r w:rsidR="00913862">
        <w:t>ов</w:t>
      </w:r>
      <w:r>
        <w:t xml:space="preserve"> с низким и средним доходом стали участвовать в анимационной отрасли, часто благодаря </w:t>
      </w:r>
      <w:r w:rsidR="00C67C34">
        <w:t xml:space="preserve">образовательной и инфраструктурной </w:t>
      </w:r>
      <w:r>
        <w:t xml:space="preserve">поддержке со стороны местных правительств. </w:t>
      </w:r>
      <w:r w:rsidR="00333919">
        <w:t>Обучение</w:t>
      </w:r>
      <w:r>
        <w:t xml:space="preserve"> </w:t>
      </w:r>
      <w:r w:rsidR="00333919">
        <w:t>художников</w:t>
      </w:r>
      <w:r w:rsidR="00333919">
        <w:noBreakHyphen/>
      </w:r>
      <w:r>
        <w:t xml:space="preserve">аниматоров и технических специалистов </w:t>
      </w:r>
      <w:r w:rsidR="00925E4B">
        <w:t>играет ключевую роль в</w:t>
      </w:r>
      <w:r>
        <w:t xml:space="preserve"> </w:t>
      </w:r>
      <w:r w:rsidR="00925E4B">
        <w:t>формировании</w:t>
      </w:r>
      <w:r>
        <w:t xml:space="preserve"> анимационной отрасли, в основе которой лежат авторские права. Для обеспечения устойчивости отрасли не менее важно проведение </w:t>
      </w:r>
      <w:r w:rsidR="00E47FA1">
        <w:t>тренингов</w:t>
      </w:r>
      <w:r>
        <w:t xml:space="preserve"> по деловым и правовым аспектам. Как показывает пример корейской компании NEON из приложения III, многие студии создают контент как для потребителей, так и для третьих сторон. Примен</w:t>
      </w:r>
      <w:r w:rsidR="007F5010">
        <w:t>яются одинаковые</w:t>
      </w:r>
      <w:r>
        <w:t xml:space="preserve"> концепции и когда компания разрабатывает потребительск</w:t>
      </w:r>
      <w:r w:rsidR="000D6219">
        <w:t>ую</w:t>
      </w:r>
      <w:r>
        <w:t xml:space="preserve"> </w:t>
      </w:r>
      <w:r w:rsidR="000D6219">
        <w:t>продукцию</w:t>
      </w:r>
      <w:r>
        <w:t xml:space="preserve"> (например</w:t>
      </w:r>
      <w:r w:rsidR="000D6219">
        <w:t>,</w:t>
      </w:r>
      <w:r>
        <w:t xml:space="preserve"> детскую программу или художественный фильм, которые также называют продуктами сферы «бизнес–потребитель» или B2C), и когда она оказывает коммерческие услуги для других предприятий (B2B), например</w:t>
      </w:r>
      <w:r w:rsidR="00DD4C6D">
        <w:t>,</w:t>
      </w:r>
      <w:r>
        <w:t xml:space="preserve"> производит</w:t>
      </w:r>
      <w:r w:rsidR="00E47AD9">
        <w:t xml:space="preserve"> тематические видео</w:t>
      </w:r>
      <w:r>
        <w:t xml:space="preserve">ролики для предприятий, обучающие видео, </w:t>
      </w:r>
      <w:r w:rsidR="002147AD">
        <w:t>создает анимированные</w:t>
      </w:r>
      <w:r>
        <w:t xml:space="preserve"> логотипы или визуальные эффекты. Последние услуги обычно оказываются в </w:t>
      </w:r>
      <w:r w:rsidR="002147AD">
        <w:t>форме</w:t>
      </w:r>
      <w:r>
        <w:t xml:space="preserve"> работы по найму, и авторские права принадлежат нанимающей компании, а не студии, художнику или техническому специалисту.</w:t>
      </w:r>
    </w:p>
    <w:p w14:paraId="40F8A4EE" w14:textId="77777777" w:rsidR="000D3411" w:rsidRPr="0017301A" w:rsidRDefault="000D3411" w:rsidP="000D3411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ПРАКТИЧЕСКИЕ СООБРАЖЕНИЯ</w:t>
      </w:r>
    </w:p>
    <w:p w14:paraId="1DDC0A97" w14:textId="0CF7E3C0" w:rsidR="000D3411" w:rsidRPr="0017301A" w:rsidRDefault="000D3411" w:rsidP="000D3411">
      <w:pPr>
        <w:spacing w:after="240"/>
      </w:pPr>
      <w:r>
        <w:t xml:space="preserve">В руководстве </w:t>
      </w:r>
      <w:r w:rsidR="008121CD">
        <w:t>рассмотрен</w:t>
      </w:r>
      <w:r w:rsidR="00437BCD">
        <w:t>ы следующие вопросы:</w:t>
      </w:r>
      <w:r>
        <w:t xml:space="preserve"> базов</w:t>
      </w:r>
      <w:r w:rsidR="00437BCD">
        <w:t>ая</w:t>
      </w:r>
      <w:r>
        <w:t xml:space="preserve"> структура анимационной отрасли, включая возможности для авторов; виды авторского права, которые возникают у создателя произведения; как авторское право фиксируется и предоставляется третьим сторонам; и как создается ценность оригинального произведения, а также производных и вспомогательных произведений, таких как сопутствующие товары, сиквелы, театральные постановки и другие произведения, в которых используются персонажи или сюжеты. В руководстве также </w:t>
      </w:r>
      <w:r w:rsidR="002174F7">
        <w:t>подробно представлены</w:t>
      </w:r>
      <w:r>
        <w:t xml:space="preserve"> права, которые автор должен закрепить, чтобы предъявлять авторское право на сценарий, персонажей, музыку, голосовое исполнение или захват движения. Наконец, </w:t>
      </w:r>
      <w:r w:rsidR="008121CD">
        <w:t>руководство охватывает</w:t>
      </w:r>
      <w:r>
        <w:t xml:space="preserve"> анализ деловой деятельности в анимационной отрасли и </w:t>
      </w:r>
      <w:r w:rsidR="00974339">
        <w:t xml:space="preserve">способы преодоления </w:t>
      </w:r>
      <w:r>
        <w:t>трудност</w:t>
      </w:r>
      <w:r w:rsidR="00974339">
        <w:t>ей</w:t>
      </w:r>
      <w:r>
        <w:t xml:space="preserve"> при построении устойчивого бизнеса, основанного на интеллектуальной собственности (ИС). </w:t>
      </w:r>
    </w:p>
    <w:p w14:paraId="1D8F0B50" w14:textId="3C21A8B2" w:rsidR="000D3411" w:rsidRPr="00363334" w:rsidRDefault="000D3411" w:rsidP="000D3411">
      <w:pPr>
        <w:spacing w:after="240"/>
      </w:pPr>
      <w:r>
        <w:t>В широком смысле «анимация» может включать ненаративные формы, например</w:t>
      </w:r>
      <w:r w:rsidR="00967069">
        <w:t>,</w:t>
      </w:r>
      <w:r>
        <w:t xml:space="preserve"> анимированные логотипы, визуальные эффекты, видеоигры, новостную/спортивную графику, и может быть использована для улучшения визуальной составляющей </w:t>
      </w:r>
      <w:r>
        <w:lastRenderedPageBreak/>
        <w:t xml:space="preserve">программы или мероприятия. </w:t>
      </w:r>
      <w:r w:rsidR="006220B5">
        <w:t xml:space="preserve">В последнем случае </w:t>
      </w:r>
      <w:r w:rsidR="00363334">
        <w:t xml:space="preserve">речь идет о редких примерах создания </w:t>
      </w:r>
      <w:r>
        <w:t>материал</w:t>
      </w:r>
      <w:r w:rsidR="00363334">
        <w:t>ов</w:t>
      </w:r>
      <w:r w:rsidR="006220B5">
        <w:t>,</w:t>
      </w:r>
      <w:r>
        <w:t xml:space="preserve"> </w:t>
      </w:r>
      <w:r w:rsidR="00363334">
        <w:t xml:space="preserve">охраняемых авторским правом, </w:t>
      </w:r>
      <w:r>
        <w:t xml:space="preserve">и поэтому </w:t>
      </w:r>
      <w:r w:rsidR="006220B5">
        <w:t xml:space="preserve">они </w:t>
      </w:r>
      <w:r>
        <w:t>не освещен</w:t>
      </w:r>
      <w:r w:rsidR="006220B5">
        <w:t>ы</w:t>
      </w:r>
      <w:r>
        <w:t xml:space="preserve"> в данном руководстве. Тем не менее </w:t>
      </w:r>
      <w:r w:rsidR="00363334">
        <w:t>таким образом могут появляться дополнительные источники дохода</w:t>
      </w:r>
      <w:r>
        <w:t xml:space="preserve"> для анимационных студий, художников и технических специалистов.</w:t>
      </w:r>
    </w:p>
    <w:p w14:paraId="13B1C858" w14:textId="3110740A" w:rsidR="000D3411" w:rsidRPr="0017301A" w:rsidRDefault="000D3411" w:rsidP="000D3411">
      <w:pPr>
        <w:spacing w:after="240"/>
      </w:pPr>
      <w:r>
        <w:t xml:space="preserve">Руководство направлено на содействие </w:t>
      </w:r>
      <w:r w:rsidR="006B7FE4">
        <w:t>формированию</w:t>
      </w:r>
      <w:r>
        <w:t xml:space="preserve"> анимационной отрасли </w:t>
      </w:r>
      <w:r w:rsidR="006B7FE4">
        <w:t>во</w:t>
      </w:r>
      <w:r>
        <w:t xml:space="preserve"> всем мир</w:t>
      </w:r>
      <w:r w:rsidR="006B7FE4">
        <w:t>е</w:t>
      </w:r>
      <w:r>
        <w:t>, оказание помощи местным творческим сообществам в развитии устойчивых предприятий в растущем секторе отрасли ИС.</w:t>
      </w:r>
    </w:p>
    <w:p w14:paraId="265F8800" w14:textId="77777777" w:rsidR="000D3411" w:rsidRPr="0017301A" w:rsidRDefault="000D3411" w:rsidP="000D3411">
      <w:r>
        <w:t xml:space="preserve">Полная версия документа доступна по следующей ссылке: </w:t>
      </w:r>
    </w:p>
    <w:p w14:paraId="39F12C09" w14:textId="595F1AD4" w:rsidR="000D3411" w:rsidRDefault="003A6AE5" w:rsidP="000D3411">
      <w:pPr>
        <w:rPr>
          <w:color w:val="2B2C28"/>
        </w:rPr>
      </w:pPr>
      <w:hyperlink r:id="rId16" w:history="1">
        <w:r w:rsidR="004F29E0">
          <w:rPr>
            <w:rStyle w:val="Hyperlink"/>
          </w:rPr>
          <w:t>http://www-dev.wipo.int/edocs/mdocs/mdocs/en/wipo_cr_jkt_23/wipo_cr_jkt_23_www_615978.pdf</w:t>
        </w:r>
      </w:hyperlink>
      <w:r w:rsidR="004F29E0">
        <w:rPr>
          <w:color w:val="2B2C28"/>
        </w:rPr>
        <w:t xml:space="preserve"> </w:t>
      </w:r>
    </w:p>
    <w:p w14:paraId="0BC951F3" w14:textId="1FADC0F9" w:rsidR="002326AB" w:rsidRDefault="000D3411" w:rsidP="001E7F51">
      <w:pPr>
        <w:pStyle w:val="Endofdocument-Annex"/>
        <w:spacing w:before="720"/>
        <w:ind w:left="5530"/>
      </w:pPr>
      <w:r>
        <w:t>[Конец приложения и документа]</w:t>
      </w:r>
    </w:p>
    <w:sectPr w:rsidR="002326AB" w:rsidSect="00827E3F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0D532" w14:textId="77777777" w:rsidR="000D3411" w:rsidRDefault="000D3411">
      <w:r>
        <w:separator/>
      </w:r>
    </w:p>
  </w:endnote>
  <w:endnote w:type="continuationSeparator" w:id="0">
    <w:p w14:paraId="59BEF914" w14:textId="77777777" w:rsidR="000D3411" w:rsidRDefault="000D3411" w:rsidP="003B38C1">
      <w:r>
        <w:separator/>
      </w:r>
    </w:p>
    <w:p w14:paraId="0E6653F4" w14:textId="77777777" w:rsidR="000D3411" w:rsidRPr="00FC678A" w:rsidRDefault="000D3411" w:rsidP="003B38C1">
      <w:pPr>
        <w:spacing w:after="60"/>
        <w:rPr>
          <w:sz w:val="17"/>
          <w:lang w:val="en-US"/>
        </w:rPr>
      </w:pPr>
      <w:r w:rsidRPr="00FC678A">
        <w:rPr>
          <w:sz w:val="17"/>
          <w:lang w:val="en-US"/>
        </w:rPr>
        <w:t>[Endnote continued from previous page]</w:t>
      </w:r>
    </w:p>
  </w:endnote>
  <w:endnote w:type="continuationNotice" w:id="1">
    <w:p w14:paraId="126B128C" w14:textId="77777777" w:rsidR="000D3411" w:rsidRPr="00FC678A" w:rsidRDefault="000D3411" w:rsidP="003B38C1">
      <w:pPr>
        <w:spacing w:before="60"/>
        <w:jc w:val="right"/>
        <w:rPr>
          <w:sz w:val="17"/>
          <w:szCs w:val="17"/>
          <w:lang w:val="en-US"/>
        </w:rPr>
      </w:pPr>
      <w:r w:rsidRPr="00FC678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B218" w14:textId="77777777" w:rsidR="00A4154D" w:rsidRDefault="00A41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9E5F" w14:textId="77777777" w:rsidR="00A4154D" w:rsidRDefault="00A41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41B" w14:textId="77777777" w:rsidR="00A4154D" w:rsidRDefault="00A41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59B4" w14:textId="77777777" w:rsidR="000D3411" w:rsidRDefault="000D3411">
      <w:r>
        <w:separator/>
      </w:r>
    </w:p>
  </w:footnote>
  <w:footnote w:type="continuationSeparator" w:id="0">
    <w:p w14:paraId="3A44E349" w14:textId="77777777" w:rsidR="000D3411" w:rsidRDefault="000D3411" w:rsidP="008B60B2">
      <w:r>
        <w:separator/>
      </w:r>
    </w:p>
    <w:p w14:paraId="7FD0401E" w14:textId="77777777" w:rsidR="000D3411" w:rsidRPr="00FC678A" w:rsidRDefault="000D3411" w:rsidP="008B60B2">
      <w:pPr>
        <w:spacing w:after="60"/>
        <w:rPr>
          <w:sz w:val="17"/>
          <w:szCs w:val="17"/>
          <w:lang w:val="en-US"/>
        </w:rPr>
      </w:pPr>
      <w:r w:rsidRPr="00FC678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4B466D8" w14:textId="77777777" w:rsidR="000D3411" w:rsidRPr="00FC678A" w:rsidRDefault="000D3411" w:rsidP="008B60B2">
      <w:pPr>
        <w:spacing w:before="60"/>
        <w:jc w:val="right"/>
        <w:rPr>
          <w:sz w:val="17"/>
          <w:szCs w:val="17"/>
          <w:lang w:val="en-US"/>
        </w:rPr>
      </w:pPr>
      <w:r w:rsidRPr="00FC678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E17" w14:textId="77777777" w:rsidR="00A4154D" w:rsidRDefault="00A41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24EE" w14:textId="6E926F03" w:rsidR="00D07C78" w:rsidRPr="002326AB" w:rsidRDefault="000D3411" w:rsidP="00477D6B">
    <w:pPr>
      <w:jc w:val="right"/>
      <w:rPr>
        <w:caps/>
      </w:rPr>
    </w:pPr>
    <w:r>
      <w:rPr>
        <w:caps/>
      </w:rPr>
      <w:t>CDIP/31/INF/2</w:t>
    </w:r>
  </w:p>
  <w:p w14:paraId="53D3CCF1" w14:textId="4152E177" w:rsidR="00D07C78" w:rsidRDefault="00827E3F" w:rsidP="00E63EDE">
    <w:pPr>
      <w:pStyle w:val="Header"/>
      <w:jc w:val="right"/>
    </w:pPr>
    <w:r>
      <w:t xml:space="preserve">стр. </w:t>
    </w:r>
    <w:sdt>
      <w:sdtPr>
        <w:id w:val="1353687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E5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14FD" w14:textId="77777777" w:rsidR="00A4154D" w:rsidRDefault="00A415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865A" w14:textId="77777777" w:rsidR="00827E3F" w:rsidRPr="002326AB" w:rsidRDefault="00827E3F" w:rsidP="00477D6B">
    <w:pPr>
      <w:jc w:val="right"/>
      <w:rPr>
        <w:caps/>
      </w:rPr>
    </w:pPr>
    <w:r>
      <w:rPr>
        <w:caps/>
      </w:rPr>
      <w:t>CDIP/31/INF/2</w:t>
    </w:r>
  </w:p>
  <w:p w14:paraId="434965C1" w14:textId="00E52B38" w:rsidR="00827E3F" w:rsidRDefault="00827E3F" w:rsidP="003E37CA">
    <w:pPr>
      <w:pStyle w:val="Header"/>
      <w:jc w:val="right"/>
    </w:pPr>
    <w:r>
      <w:t xml:space="preserve">Приложение, стр. </w:t>
    </w:r>
    <w:sdt>
      <w:sdtPr>
        <w:id w:val="8166893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E5">
          <w:rPr>
            <w:noProof/>
          </w:rPr>
          <w:t>3</w:t>
        </w:r>
        <w:r>
          <w:fldChar w:fldCharType="end"/>
        </w:r>
      </w:sdtContent>
    </w:sdt>
  </w:p>
  <w:p w14:paraId="71D17E25" w14:textId="77777777" w:rsidR="00827E3F" w:rsidRDefault="00827E3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CC1B" w14:textId="77777777" w:rsidR="000D3411" w:rsidRDefault="000D3411" w:rsidP="000D3411">
    <w:pPr>
      <w:jc w:val="right"/>
      <w:rPr>
        <w:caps/>
      </w:rPr>
    </w:pPr>
    <w:r>
      <w:rPr>
        <w:caps/>
      </w:rPr>
      <w:t>CDIP/31/INF/2</w:t>
    </w:r>
  </w:p>
  <w:p w14:paraId="6BF30192" w14:textId="77777777" w:rsidR="000D3411" w:rsidRPr="002326AB" w:rsidRDefault="000D3411" w:rsidP="000D3411">
    <w:pPr>
      <w:jc w:val="right"/>
      <w:rPr>
        <w:caps/>
      </w:rPr>
    </w:pPr>
    <w:r>
      <w:rPr>
        <w:caps/>
      </w:rPr>
      <w:t>ПРИЛОЖЕНИЕ</w:t>
    </w:r>
  </w:p>
  <w:p w14:paraId="0A6BFC66" w14:textId="77777777" w:rsidR="000D3411" w:rsidRDefault="000D3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2D5615F"/>
    <w:multiLevelType w:val="hybridMultilevel"/>
    <w:tmpl w:val="547C86E6"/>
    <w:lvl w:ilvl="0" w:tplc="8A44C288">
      <w:start w:val="13"/>
      <w:numFmt w:val="bullet"/>
      <w:lvlText w:val="-"/>
      <w:lvlJc w:val="left"/>
      <w:pPr>
        <w:ind w:left="68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B3C51"/>
    <w:multiLevelType w:val="hybridMultilevel"/>
    <w:tmpl w:val="185CE9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1"/>
    <w:rsid w:val="00007F76"/>
    <w:rsid w:val="00037A00"/>
    <w:rsid w:val="00043CAA"/>
    <w:rsid w:val="00056816"/>
    <w:rsid w:val="00075432"/>
    <w:rsid w:val="000968ED"/>
    <w:rsid w:val="000A3D97"/>
    <w:rsid w:val="000D2AD4"/>
    <w:rsid w:val="000D3411"/>
    <w:rsid w:val="000D6219"/>
    <w:rsid w:val="000F0BB8"/>
    <w:rsid w:val="000F5E56"/>
    <w:rsid w:val="00133D3A"/>
    <w:rsid w:val="001362EE"/>
    <w:rsid w:val="00146057"/>
    <w:rsid w:val="001647D5"/>
    <w:rsid w:val="001673B1"/>
    <w:rsid w:val="0017301A"/>
    <w:rsid w:val="00177AF7"/>
    <w:rsid w:val="001832A6"/>
    <w:rsid w:val="001958A9"/>
    <w:rsid w:val="001A0D2F"/>
    <w:rsid w:val="001B563A"/>
    <w:rsid w:val="001B59DB"/>
    <w:rsid w:val="001D4107"/>
    <w:rsid w:val="001E7F51"/>
    <w:rsid w:val="00203D24"/>
    <w:rsid w:val="0021217E"/>
    <w:rsid w:val="002147AD"/>
    <w:rsid w:val="002174F7"/>
    <w:rsid w:val="002326AB"/>
    <w:rsid w:val="00243430"/>
    <w:rsid w:val="00250DA0"/>
    <w:rsid w:val="002634C4"/>
    <w:rsid w:val="00281F20"/>
    <w:rsid w:val="002928D3"/>
    <w:rsid w:val="002D58DB"/>
    <w:rsid w:val="002F1FE6"/>
    <w:rsid w:val="002F4E68"/>
    <w:rsid w:val="00312F7F"/>
    <w:rsid w:val="00320E93"/>
    <w:rsid w:val="00333919"/>
    <w:rsid w:val="0034212E"/>
    <w:rsid w:val="00361450"/>
    <w:rsid w:val="00363334"/>
    <w:rsid w:val="003673CF"/>
    <w:rsid w:val="003845C1"/>
    <w:rsid w:val="003A6AE5"/>
    <w:rsid w:val="003A6F89"/>
    <w:rsid w:val="003B38C1"/>
    <w:rsid w:val="003C34E9"/>
    <w:rsid w:val="003E2CDA"/>
    <w:rsid w:val="003E37CA"/>
    <w:rsid w:val="004123BA"/>
    <w:rsid w:val="00423E3E"/>
    <w:rsid w:val="00427AF4"/>
    <w:rsid w:val="00437BCD"/>
    <w:rsid w:val="00446EF2"/>
    <w:rsid w:val="004647DA"/>
    <w:rsid w:val="00474062"/>
    <w:rsid w:val="00477D6B"/>
    <w:rsid w:val="004E0DAA"/>
    <w:rsid w:val="004F29E0"/>
    <w:rsid w:val="005019FF"/>
    <w:rsid w:val="005230EB"/>
    <w:rsid w:val="0053057A"/>
    <w:rsid w:val="00556076"/>
    <w:rsid w:val="00560A29"/>
    <w:rsid w:val="0056264D"/>
    <w:rsid w:val="005B225B"/>
    <w:rsid w:val="005C6649"/>
    <w:rsid w:val="005E2DB2"/>
    <w:rsid w:val="00605827"/>
    <w:rsid w:val="00615129"/>
    <w:rsid w:val="00617EFC"/>
    <w:rsid w:val="006220B5"/>
    <w:rsid w:val="0064472A"/>
    <w:rsid w:val="00646050"/>
    <w:rsid w:val="006713CA"/>
    <w:rsid w:val="00676C5C"/>
    <w:rsid w:val="006835BA"/>
    <w:rsid w:val="006B7EB0"/>
    <w:rsid w:val="006B7FE4"/>
    <w:rsid w:val="006C4247"/>
    <w:rsid w:val="006D2EA9"/>
    <w:rsid w:val="006E29A4"/>
    <w:rsid w:val="00706A4F"/>
    <w:rsid w:val="00720EFD"/>
    <w:rsid w:val="00763C30"/>
    <w:rsid w:val="007854AF"/>
    <w:rsid w:val="00793A7C"/>
    <w:rsid w:val="007A398A"/>
    <w:rsid w:val="007D1613"/>
    <w:rsid w:val="007D1D9E"/>
    <w:rsid w:val="007E4C0E"/>
    <w:rsid w:val="007F2EB0"/>
    <w:rsid w:val="007F5010"/>
    <w:rsid w:val="00807CD4"/>
    <w:rsid w:val="008121CD"/>
    <w:rsid w:val="00827E3F"/>
    <w:rsid w:val="00863A43"/>
    <w:rsid w:val="00871B73"/>
    <w:rsid w:val="008739FB"/>
    <w:rsid w:val="00877D3A"/>
    <w:rsid w:val="00891DB3"/>
    <w:rsid w:val="008A134B"/>
    <w:rsid w:val="008B2CC1"/>
    <w:rsid w:val="008B60B2"/>
    <w:rsid w:val="008C32BC"/>
    <w:rsid w:val="009033EB"/>
    <w:rsid w:val="0090731E"/>
    <w:rsid w:val="00907852"/>
    <w:rsid w:val="00913862"/>
    <w:rsid w:val="00916EE2"/>
    <w:rsid w:val="00925E4B"/>
    <w:rsid w:val="00966A22"/>
    <w:rsid w:val="00967069"/>
    <w:rsid w:val="0096722F"/>
    <w:rsid w:val="00974339"/>
    <w:rsid w:val="00980843"/>
    <w:rsid w:val="009C537C"/>
    <w:rsid w:val="009E2791"/>
    <w:rsid w:val="009E3F6F"/>
    <w:rsid w:val="009F499F"/>
    <w:rsid w:val="00A00045"/>
    <w:rsid w:val="00A119EF"/>
    <w:rsid w:val="00A37342"/>
    <w:rsid w:val="00A4154D"/>
    <w:rsid w:val="00A42DAF"/>
    <w:rsid w:val="00A45BD8"/>
    <w:rsid w:val="00A766B8"/>
    <w:rsid w:val="00A76CEB"/>
    <w:rsid w:val="00A8389F"/>
    <w:rsid w:val="00A869B7"/>
    <w:rsid w:val="00A90F0A"/>
    <w:rsid w:val="00A9628A"/>
    <w:rsid w:val="00AB3548"/>
    <w:rsid w:val="00AC205C"/>
    <w:rsid w:val="00AE0A33"/>
    <w:rsid w:val="00AF0A6B"/>
    <w:rsid w:val="00B05A69"/>
    <w:rsid w:val="00B06C0D"/>
    <w:rsid w:val="00B52735"/>
    <w:rsid w:val="00B615AE"/>
    <w:rsid w:val="00B666E6"/>
    <w:rsid w:val="00B73029"/>
    <w:rsid w:val="00B73D1D"/>
    <w:rsid w:val="00B75281"/>
    <w:rsid w:val="00B77908"/>
    <w:rsid w:val="00B92F1F"/>
    <w:rsid w:val="00B9734B"/>
    <w:rsid w:val="00BA30E2"/>
    <w:rsid w:val="00BA4CF1"/>
    <w:rsid w:val="00BD7C9E"/>
    <w:rsid w:val="00BE2CA0"/>
    <w:rsid w:val="00C11BFE"/>
    <w:rsid w:val="00C408FA"/>
    <w:rsid w:val="00C5068F"/>
    <w:rsid w:val="00C67C34"/>
    <w:rsid w:val="00C86D74"/>
    <w:rsid w:val="00CC01C7"/>
    <w:rsid w:val="00CD04F1"/>
    <w:rsid w:val="00CE4004"/>
    <w:rsid w:val="00CF681A"/>
    <w:rsid w:val="00CF6CF7"/>
    <w:rsid w:val="00D07C78"/>
    <w:rsid w:val="00D115FB"/>
    <w:rsid w:val="00D45252"/>
    <w:rsid w:val="00D51A99"/>
    <w:rsid w:val="00D56E8A"/>
    <w:rsid w:val="00D71B4D"/>
    <w:rsid w:val="00D93D55"/>
    <w:rsid w:val="00D94DA5"/>
    <w:rsid w:val="00DD4C6D"/>
    <w:rsid w:val="00DD7B7F"/>
    <w:rsid w:val="00E1456C"/>
    <w:rsid w:val="00E15015"/>
    <w:rsid w:val="00E30460"/>
    <w:rsid w:val="00E335FE"/>
    <w:rsid w:val="00E41552"/>
    <w:rsid w:val="00E47AD9"/>
    <w:rsid w:val="00E47FA1"/>
    <w:rsid w:val="00E63EDE"/>
    <w:rsid w:val="00EA63D6"/>
    <w:rsid w:val="00EA7D6E"/>
    <w:rsid w:val="00EB2F76"/>
    <w:rsid w:val="00EB5C6F"/>
    <w:rsid w:val="00EB76CE"/>
    <w:rsid w:val="00EC4E49"/>
    <w:rsid w:val="00ED4730"/>
    <w:rsid w:val="00ED77FB"/>
    <w:rsid w:val="00EE45FA"/>
    <w:rsid w:val="00EF0EDC"/>
    <w:rsid w:val="00F043DE"/>
    <w:rsid w:val="00F66152"/>
    <w:rsid w:val="00F6684C"/>
    <w:rsid w:val="00F9165B"/>
    <w:rsid w:val="00FA08E5"/>
    <w:rsid w:val="00FB2FCD"/>
    <w:rsid w:val="00FC482F"/>
    <w:rsid w:val="00FC678A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6B2088A"/>
  <w15:docId w15:val="{EF6ECDF1-C77D-4F1B-93C9-DBB3FD5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3411"/>
    <w:pPr>
      <w:ind w:left="720"/>
    </w:pPr>
    <w:rPr>
      <w:rFonts w:ascii="Calibri" w:eastAsiaTheme="minorEastAsia" w:hAnsi="Calibri" w:cs="Calibri"/>
      <w:szCs w:val="22"/>
      <w:lang w:eastAsia="en-US"/>
    </w:rPr>
  </w:style>
  <w:style w:type="paragraph" w:customStyle="1" w:styleId="NormalBODYTEXT">
    <w:name w:val="Normal.BODY TEXT"/>
    <w:rsid w:val="000D3411"/>
    <w:pPr>
      <w:suppressAutoHyphens/>
      <w:jc w:val="both"/>
    </w:pPr>
    <w:rPr>
      <w:rFonts w:eastAsia="Arial"/>
      <w:sz w:val="24"/>
      <w:lang w:eastAsia="ar-SA"/>
    </w:rPr>
  </w:style>
  <w:style w:type="character" w:styleId="Hyperlink">
    <w:name w:val="Hyperlink"/>
    <w:basedOn w:val="DefaultParagraphFont"/>
    <w:unhideWhenUsed/>
    <w:rsid w:val="000D3411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0D3411"/>
    <w:rPr>
      <w:rFonts w:ascii="Arial" w:eastAsia="SimSun" w:hAnsi="Arial" w:cs="Arial"/>
      <w:sz w:val="22"/>
      <w:lang w:val="ru-RU" w:eastAsia="zh-CN"/>
    </w:rPr>
  </w:style>
  <w:style w:type="character" w:customStyle="1" w:styleId="HeaderChar">
    <w:name w:val="Header Char"/>
    <w:basedOn w:val="DefaultParagraphFont"/>
    <w:link w:val="Header"/>
    <w:rsid w:val="000D3411"/>
    <w:rPr>
      <w:rFonts w:ascii="Arial" w:eastAsia="SimSun" w:hAnsi="Arial" w:cs="Arial"/>
      <w:sz w:val="2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9C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537C"/>
    <w:rPr>
      <w:rFonts w:ascii="Segoe UI" w:eastAsia="SimSun" w:hAnsi="Segoe UI" w:cs="Segoe UI"/>
      <w:sz w:val="18"/>
      <w:szCs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CF6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-dev.wipo.int/edocs/mdocs/mdocs/en/wipo_cr_jkt_23/wipo_cr_jkt_23_www_61597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treaties/ru/ip/berne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057-E39F-489D-BB58-B95668C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(E)</Template>
  <TotalTime>1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CDIP/31/INF/2</vt:lpstr>
    </vt:vector>
  </TitlesOfParts>
  <Company>WIPO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CDIP/31/INF/2</dc:title>
  <dc:subject/>
  <dc:creator>PANAKAL Joseph Lazar</dc:creator>
  <cp:keywords>FOR OFFICIAL USE ONLY</cp:keywords>
  <dc:description/>
  <cp:lastModifiedBy>ESTEVES DOS SANTOS Anabela</cp:lastModifiedBy>
  <cp:revision>3</cp:revision>
  <cp:lastPrinted>2011-02-15T11:56:00Z</cp:lastPrinted>
  <dcterms:created xsi:type="dcterms:W3CDTF">2023-09-06T15:08:00Z</dcterms:created>
  <dcterms:modified xsi:type="dcterms:W3CDTF">2023-09-06T15:22:00Z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2023-07-20T13:30:46Z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22ec67a1-7769-4004-aa0f-91dbf566358d</vt:lpwstr>
  </property>
  <property fmtid="{D5CDD505-2E9C-101B-9397-08002B2CF9AE}" pid="14" name="MSIP_Label_20773ee6-353b-4fb9-a59d-0b94c8c67bea_ContentBits">
    <vt:lpwstr>0</vt:lpwstr>
  </property>
</Properties>
</file>